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63C6" w14:textId="72D3383B" w:rsidR="004060FB" w:rsidRPr="008165B0" w:rsidRDefault="004060FB" w:rsidP="004060FB">
      <w:pPr>
        <w:spacing w:line="276" w:lineRule="auto"/>
        <w:rPr>
          <w:sz w:val="16"/>
          <w:szCs w:val="16"/>
        </w:rPr>
      </w:pPr>
      <w:r w:rsidRPr="008165B0">
        <w:rPr>
          <w:sz w:val="16"/>
          <w:szCs w:val="16"/>
        </w:rPr>
        <w:t>SG.0121.1.2020</w:t>
      </w:r>
    </w:p>
    <w:p w14:paraId="7A0B5A99" w14:textId="77777777" w:rsidR="004060FB" w:rsidRPr="008165B0" w:rsidRDefault="004060FB" w:rsidP="004060FB">
      <w:pPr>
        <w:spacing w:line="276" w:lineRule="auto"/>
        <w:rPr>
          <w:sz w:val="16"/>
          <w:szCs w:val="16"/>
        </w:rPr>
      </w:pPr>
    </w:p>
    <w:p w14:paraId="209F9E37" w14:textId="394D11FB" w:rsidR="004060FB" w:rsidRPr="008165B0" w:rsidRDefault="004060FB" w:rsidP="004060FB">
      <w:pPr>
        <w:spacing w:line="276" w:lineRule="auto"/>
        <w:jc w:val="center"/>
        <w:rPr>
          <w:b/>
          <w:sz w:val="32"/>
          <w:szCs w:val="32"/>
        </w:rPr>
      </w:pPr>
      <w:r w:rsidRPr="008165B0">
        <w:rPr>
          <w:b/>
          <w:sz w:val="32"/>
          <w:szCs w:val="32"/>
        </w:rPr>
        <w:t>ZARZĄDZENIE NR SOG.Z.6.2021</w:t>
      </w:r>
    </w:p>
    <w:p w14:paraId="2685568F" w14:textId="77777777" w:rsidR="004060FB" w:rsidRPr="008165B0" w:rsidRDefault="004060FB" w:rsidP="004060FB">
      <w:pPr>
        <w:spacing w:line="276" w:lineRule="auto"/>
        <w:jc w:val="center"/>
        <w:rPr>
          <w:b/>
          <w:sz w:val="32"/>
          <w:szCs w:val="32"/>
        </w:rPr>
      </w:pPr>
      <w:r w:rsidRPr="008165B0">
        <w:rPr>
          <w:b/>
          <w:sz w:val="32"/>
          <w:szCs w:val="32"/>
        </w:rPr>
        <w:t>WÓJTA GMINY WARTA BOLESŁAWIECKA</w:t>
      </w:r>
    </w:p>
    <w:p w14:paraId="645676BA" w14:textId="0E1C7037" w:rsidR="004060FB" w:rsidRPr="008165B0" w:rsidRDefault="004060FB" w:rsidP="004060FB">
      <w:pPr>
        <w:spacing w:line="276" w:lineRule="auto"/>
        <w:jc w:val="center"/>
        <w:rPr>
          <w:b/>
          <w:sz w:val="32"/>
          <w:szCs w:val="32"/>
        </w:rPr>
      </w:pPr>
      <w:r w:rsidRPr="008165B0">
        <w:rPr>
          <w:b/>
          <w:sz w:val="32"/>
          <w:szCs w:val="32"/>
        </w:rPr>
        <w:t>z dnia 30 grudnia 2020 roku</w:t>
      </w:r>
    </w:p>
    <w:p w14:paraId="6415A20C" w14:textId="77777777" w:rsidR="004060FB" w:rsidRPr="008165B0" w:rsidRDefault="004060FB" w:rsidP="004060FB">
      <w:pPr>
        <w:spacing w:line="276" w:lineRule="auto"/>
        <w:jc w:val="both"/>
        <w:rPr>
          <w:sz w:val="32"/>
          <w:szCs w:val="32"/>
        </w:rPr>
      </w:pPr>
    </w:p>
    <w:p w14:paraId="2CF69674" w14:textId="77777777" w:rsidR="004060FB" w:rsidRPr="008165B0" w:rsidRDefault="004060FB" w:rsidP="004060FB">
      <w:pPr>
        <w:spacing w:line="276" w:lineRule="auto"/>
        <w:jc w:val="both"/>
        <w:rPr>
          <w:b/>
          <w:sz w:val="22"/>
          <w:szCs w:val="22"/>
        </w:rPr>
      </w:pPr>
      <w:r w:rsidRPr="008165B0">
        <w:rPr>
          <w:b/>
          <w:sz w:val="22"/>
          <w:szCs w:val="22"/>
        </w:rPr>
        <w:t>zmieniające zarządzenie w sprawie nadania Urzędowi Gminy Warta Bolesławiecka Regulaminu Organizacyjnego.</w:t>
      </w:r>
    </w:p>
    <w:p w14:paraId="0AF6AFCB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34C2B572" w14:textId="2EC1E8AE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Na podstawie art. 33 ust. 2 ustawy z dnia 8 marca 1990 roku o samorządzie gminnym (</w:t>
      </w:r>
      <w:proofErr w:type="spellStart"/>
      <w:r w:rsidRPr="008165B0">
        <w:rPr>
          <w:sz w:val="22"/>
          <w:szCs w:val="22"/>
        </w:rPr>
        <w:t>t.j</w:t>
      </w:r>
      <w:proofErr w:type="spellEnd"/>
      <w:r w:rsidRPr="008165B0">
        <w:rPr>
          <w:sz w:val="22"/>
          <w:szCs w:val="22"/>
        </w:rPr>
        <w:t xml:space="preserve">. Dz.U. z 2020 r.  poz. 713 z </w:t>
      </w:r>
      <w:proofErr w:type="spellStart"/>
      <w:r w:rsidRPr="008165B0">
        <w:rPr>
          <w:sz w:val="22"/>
          <w:szCs w:val="22"/>
        </w:rPr>
        <w:t>późn</w:t>
      </w:r>
      <w:proofErr w:type="spellEnd"/>
      <w:r w:rsidRPr="008165B0">
        <w:rPr>
          <w:sz w:val="22"/>
          <w:szCs w:val="22"/>
        </w:rPr>
        <w:t>. zmianami) zarządzam:</w:t>
      </w:r>
    </w:p>
    <w:p w14:paraId="2CB7A0D2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1BA159EE" w14:textId="77777777" w:rsidR="004060FB" w:rsidRPr="008165B0" w:rsidRDefault="004060FB" w:rsidP="004060FB">
      <w:pPr>
        <w:spacing w:line="276" w:lineRule="auto"/>
        <w:jc w:val="center"/>
        <w:rPr>
          <w:sz w:val="22"/>
          <w:szCs w:val="22"/>
        </w:rPr>
      </w:pPr>
      <w:r w:rsidRPr="008165B0">
        <w:rPr>
          <w:sz w:val="22"/>
          <w:szCs w:val="22"/>
        </w:rPr>
        <w:t>§ 1.</w:t>
      </w:r>
    </w:p>
    <w:p w14:paraId="1803B76F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61A0EB19" w14:textId="55658C72" w:rsidR="004060FB" w:rsidRDefault="004060FB" w:rsidP="004060FB">
      <w:p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 xml:space="preserve">W „Regulaminie Organizacyjnym Urzędu Gminy Warta Bolesławiecka” </w:t>
      </w:r>
      <w:r w:rsidR="00414EF2" w:rsidRPr="008165B0">
        <w:rPr>
          <w:sz w:val="22"/>
          <w:szCs w:val="22"/>
        </w:rPr>
        <w:t xml:space="preserve">stanowiącym Załącznik do Zarządzenia nr SOG.Z.25.2018 Wójta Gminy Warta Bolesławiecka z dnia 5 kwietnia 2018 roku </w:t>
      </w:r>
      <w:r w:rsidRPr="008165B0">
        <w:rPr>
          <w:sz w:val="22"/>
          <w:szCs w:val="22"/>
        </w:rPr>
        <w:t>zwanym dalej „Regulaminem” wprowadza się następujące zmiany:</w:t>
      </w:r>
    </w:p>
    <w:p w14:paraId="3C606048" w14:textId="77777777" w:rsidR="008165B0" w:rsidRPr="008165B0" w:rsidRDefault="008165B0" w:rsidP="004060FB">
      <w:pPr>
        <w:spacing w:line="276" w:lineRule="auto"/>
        <w:jc w:val="both"/>
        <w:rPr>
          <w:sz w:val="22"/>
          <w:szCs w:val="22"/>
        </w:rPr>
      </w:pPr>
    </w:p>
    <w:p w14:paraId="311E196B" w14:textId="1BB16529" w:rsidR="004060FB" w:rsidRPr="008165B0" w:rsidRDefault="004060FB" w:rsidP="004060FB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§ 4 otrzymuje brzmienie:</w:t>
      </w:r>
    </w:p>
    <w:p w14:paraId="227B185D" w14:textId="77777777" w:rsidR="00414EF2" w:rsidRPr="008165B0" w:rsidRDefault="00414EF2" w:rsidP="00414EF2">
      <w:pPr>
        <w:spacing w:line="276" w:lineRule="auto"/>
        <w:ind w:firstLine="360"/>
        <w:rPr>
          <w:b/>
          <w:sz w:val="22"/>
          <w:szCs w:val="22"/>
        </w:rPr>
      </w:pPr>
      <w:r w:rsidRPr="008165B0">
        <w:rPr>
          <w:b/>
          <w:sz w:val="22"/>
          <w:szCs w:val="22"/>
        </w:rPr>
        <w:t>„ § 4. Stanowiska kierownicze</w:t>
      </w:r>
    </w:p>
    <w:p w14:paraId="676261B4" w14:textId="77777777" w:rsidR="00414EF2" w:rsidRPr="008165B0" w:rsidRDefault="00414EF2" w:rsidP="00414EF2">
      <w:pPr>
        <w:spacing w:line="276" w:lineRule="auto"/>
        <w:ind w:firstLine="360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Stanowiska kierownicze w Urzędzie sprawują:</w:t>
      </w:r>
    </w:p>
    <w:p w14:paraId="444B1FE4" w14:textId="77777777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wójt,</w:t>
      </w:r>
    </w:p>
    <w:p w14:paraId="11133E14" w14:textId="77777777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zastępca wójta</w:t>
      </w:r>
    </w:p>
    <w:p w14:paraId="2A414D59" w14:textId="77777777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sekretarz gminy,</w:t>
      </w:r>
    </w:p>
    <w:p w14:paraId="26411F22" w14:textId="77777777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skarbnik gminy,</w:t>
      </w:r>
    </w:p>
    <w:p w14:paraId="2B541FFD" w14:textId="77777777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kierownik Urzędu Stanu Cywilnego,</w:t>
      </w:r>
    </w:p>
    <w:p w14:paraId="555BEF12" w14:textId="1947C595" w:rsidR="00414EF2" w:rsidRPr="008165B0" w:rsidRDefault="00414EF2" w:rsidP="00414EF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kierownik Referatu.”</w:t>
      </w:r>
    </w:p>
    <w:p w14:paraId="7F82A731" w14:textId="77777777" w:rsidR="00414EF2" w:rsidRPr="008165B0" w:rsidRDefault="00414EF2" w:rsidP="00414EF2">
      <w:pPr>
        <w:pStyle w:val="Akapitzlist"/>
        <w:spacing w:line="276" w:lineRule="auto"/>
        <w:jc w:val="both"/>
        <w:rPr>
          <w:sz w:val="22"/>
          <w:szCs w:val="22"/>
        </w:rPr>
      </w:pPr>
    </w:p>
    <w:p w14:paraId="0D81D152" w14:textId="77777777" w:rsidR="00414EF2" w:rsidRPr="008165B0" w:rsidRDefault="00414EF2" w:rsidP="00414EF2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Po § 12 wprowadza się § 12A o treści:</w:t>
      </w:r>
    </w:p>
    <w:p w14:paraId="4847ED90" w14:textId="0AE6B785" w:rsidR="00414EF2" w:rsidRPr="008165B0" w:rsidRDefault="00414EF2" w:rsidP="00414EF2">
      <w:pPr>
        <w:pStyle w:val="Akapitzlist"/>
        <w:spacing w:line="276" w:lineRule="auto"/>
        <w:jc w:val="both"/>
        <w:rPr>
          <w:b/>
          <w:bCs/>
          <w:sz w:val="22"/>
          <w:szCs w:val="22"/>
        </w:rPr>
      </w:pPr>
      <w:r w:rsidRPr="008165B0">
        <w:rPr>
          <w:b/>
          <w:bCs/>
          <w:sz w:val="22"/>
          <w:szCs w:val="22"/>
        </w:rPr>
        <w:t xml:space="preserve">„§12A. </w:t>
      </w:r>
      <w:r w:rsidR="00B35CE0">
        <w:rPr>
          <w:b/>
          <w:bCs/>
          <w:sz w:val="22"/>
          <w:szCs w:val="22"/>
        </w:rPr>
        <w:t xml:space="preserve">Wykonywanie funkcji </w:t>
      </w:r>
      <w:r w:rsidRPr="008165B0">
        <w:rPr>
          <w:b/>
          <w:bCs/>
          <w:sz w:val="22"/>
          <w:szCs w:val="22"/>
        </w:rPr>
        <w:t xml:space="preserve"> </w:t>
      </w:r>
      <w:r w:rsidR="00B35CE0">
        <w:rPr>
          <w:b/>
          <w:bCs/>
          <w:sz w:val="22"/>
          <w:szCs w:val="22"/>
        </w:rPr>
        <w:t xml:space="preserve">kierowniczych przez </w:t>
      </w:r>
      <w:r w:rsidRPr="008165B0">
        <w:rPr>
          <w:b/>
          <w:bCs/>
          <w:sz w:val="22"/>
          <w:szCs w:val="22"/>
        </w:rPr>
        <w:t xml:space="preserve">kierownika Referatu / kierownika Urzędu Stanu Cywilnego </w:t>
      </w:r>
      <w:r w:rsidR="00B35CE0">
        <w:rPr>
          <w:b/>
          <w:bCs/>
          <w:sz w:val="22"/>
          <w:szCs w:val="22"/>
        </w:rPr>
        <w:t xml:space="preserve">obejmuje </w:t>
      </w:r>
      <w:r w:rsidRPr="008165B0">
        <w:rPr>
          <w:b/>
          <w:bCs/>
          <w:sz w:val="22"/>
          <w:szCs w:val="22"/>
        </w:rPr>
        <w:t>w szczególności:</w:t>
      </w:r>
    </w:p>
    <w:p w14:paraId="0A717EB0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opracowywanie zbiorczego planu finansowego dla zadań realizowanych przez pracowników referatu;</w:t>
      </w:r>
    </w:p>
    <w:p w14:paraId="3F15E374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występowanie z wnioskami o wydanie, modyfikację lub cofnięcie uprawnień do dostępu i przetwarzania danych osobowych dla pracowników referatu;</w:t>
      </w:r>
    </w:p>
    <w:p w14:paraId="45C3B7DA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organizacja doraźnych zastępstw w przypadku nieobecności pracowników referatu w sposób zapewniający pełną obsługę interesantów,</w:t>
      </w:r>
    </w:p>
    <w:p w14:paraId="0070F074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zatwierdzanie wniosków urlopowych pracowników referatu;</w:t>
      </w:r>
    </w:p>
    <w:p w14:paraId="07C545D8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podejmowanie inicjatywy uchwałodawczej, opracowywanie projektów wewnętrznych aktów poprawnie organizujących proces realizacji zadań Urzędu,</w:t>
      </w:r>
    </w:p>
    <w:p w14:paraId="36152FAF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okresowe opiniowanie pracowników Referatu,</w:t>
      </w:r>
    </w:p>
    <w:p w14:paraId="65D3251A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podejmowanie czynności w celu zapewnienia wysokiej jakości kontroli zarządczej,</w:t>
      </w:r>
    </w:p>
    <w:p w14:paraId="70433467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lastRenderedPageBreak/>
        <w:t>analizowanie zadań stanowisk referatu w odniesieniu do zadań gminy, dla wyznaczania celów i zadań Referatu oraz monitorowanie realizacji wyznaczonych celów i zadań;</w:t>
      </w:r>
    </w:p>
    <w:p w14:paraId="5D3E4B14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kontrolowanie przebiegu realizacji zadań obarczonych wysokim poziomem ryzyka w celu zapewnienia ich realizacji;</w:t>
      </w:r>
    </w:p>
    <w:p w14:paraId="39D31B41" w14:textId="77777777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współpraca na rzecz opracowania corocznych Planów Kontroli Zarządczej oraz sprawozdań z realizacji planów,</w:t>
      </w:r>
    </w:p>
    <w:p w14:paraId="72C9500C" w14:textId="13692AE4" w:rsidR="00414EF2" w:rsidRPr="008165B0" w:rsidRDefault="00414EF2" w:rsidP="00414EF2">
      <w:pPr>
        <w:pStyle w:val="Tekstpodstawowywcity"/>
        <w:numPr>
          <w:ilvl w:val="1"/>
          <w:numId w:val="5"/>
        </w:numPr>
        <w:jc w:val="both"/>
        <w:rPr>
          <w:sz w:val="24"/>
          <w:szCs w:val="24"/>
        </w:rPr>
      </w:pPr>
      <w:r w:rsidRPr="008165B0">
        <w:rPr>
          <w:sz w:val="24"/>
          <w:szCs w:val="24"/>
        </w:rPr>
        <w:t>prowadzenie bieżącej i okresowej kontroli stanowisk Referatu, szczególnie w zakresie prawidłowej realizacji zadań bieżących i inwestycyjnych.”</w:t>
      </w:r>
    </w:p>
    <w:p w14:paraId="3010C87B" w14:textId="77777777" w:rsidR="00414EF2" w:rsidRPr="008165B0" w:rsidRDefault="00414EF2" w:rsidP="00414EF2">
      <w:pPr>
        <w:jc w:val="both"/>
      </w:pPr>
    </w:p>
    <w:p w14:paraId="04524FD1" w14:textId="5B33EABC" w:rsidR="009D0AA7" w:rsidRPr="008165B0" w:rsidRDefault="009D0AA7" w:rsidP="004060FB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8165B0">
        <w:rPr>
          <w:b/>
          <w:bCs/>
          <w:sz w:val="22"/>
          <w:szCs w:val="22"/>
        </w:rPr>
        <w:t>§ 23. Ochrona informacji niejawnych” otrzymuje brzmienie:</w:t>
      </w:r>
    </w:p>
    <w:p w14:paraId="71C125E1" w14:textId="77777777" w:rsidR="00E27636" w:rsidRPr="008165B0" w:rsidRDefault="00E27636" w:rsidP="00E27636">
      <w:pPr>
        <w:pStyle w:val="Akapitzlist"/>
        <w:spacing w:line="276" w:lineRule="auto"/>
        <w:jc w:val="both"/>
        <w:rPr>
          <w:b/>
          <w:bCs/>
          <w:sz w:val="22"/>
          <w:szCs w:val="22"/>
        </w:rPr>
      </w:pPr>
    </w:p>
    <w:p w14:paraId="4056C8AC" w14:textId="307B5183" w:rsidR="009D0AA7" w:rsidRPr="008165B0" w:rsidRDefault="009D0AA7" w:rsidP="009D0AA7">
      <w:pPr>
        <w:pStyle w:val="Akapitzlist"/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 xml:space="preserve">„§ 23. </w:t>
      </w:r>
      <w:r w:rsidR="00E27636" w:rsidRPr="008165B0">
        <w:rPr>
          <w:sz w:val="22"/>
          <w:szCs w:val="22"/>
        </w:rPr>
        <w:t>Pion Ochrony Informacji Niejawnych</w:t>
      </w:r>
      <w:r w:rsidR="008165B0">
        <w:rPr>
          <w:sz w:val="22"/>
          <w:szCs w:val="22"/>
        </w:rPr>
        <w:t xml:space="preserve"> (POIN)</w:t>
      </w:r>
    </w:p>
    <w:p w14:paraId="12B53F3C" w14:textId="781712FE" w:rsidR="00E27636" w:rsidRPr="008165B0" w:rsidRDefault="00E27636" w:rsidP="009D0AA7">
      <w:pPr>
        <w:pStyle w:val="Akapitzlist"/>
        <w:spacing w:line="276" w:lineRule="auto"/>
        <w:jc w:val="both"/>
        <w:rPr>
          <w:sz w:val="22"/>
          <w:szCs w:val="22"/>
        </w:rPr>
      </w:pPr>
    </w:p>
    <w:p w14:paraId="1E4AFEE8" w14:textId="021CE215" w:rsidR="00E27636" w:rsidRPr="008165B0" w:rsidRDefault="00E27636" w:rsidP="00E27636">
      <w:pPr>
        <w:ind w:left="851"/>
        <w:jc w:val="both"/>
      </w:pPr>
      <w:r w:rsidRPr="008165B0">
        <w:t>POIN realizuje zadania związane z zapewnieniem przestrzegania przepisów o ochronie informacji niejawnych na zasadach określonych w ustawie o ochronie informacji niejawnych i wydanych na jej podstawie aktach normatywnych, w tym między innymi ochrona systemów i sieci teleinformatycznych</w:t>
      </w:r>
      <w:r w:rsidR="008165B0">
        <w:t>,</w:t>
      </w:r>
      <w:r w:rsidRPr="008165B0">
        <w:t xml:space="preserve"> </w:t>
      </w:r>
      <w:r w:rsidR="008165B0">
        <w:t xml:space="preserve">organizuje </w:t>
      </w:r>
      <w:r w:rsidRPr="008165B0">
        <w:t>stosowanie środków bezpieczeństwa fizycznego, bezpieczeństwo osobowe oraz obsług</w:t>
      </w:r>
      <w:r w:rsidR="008165B0">
        <w:t>ę</w:t>
      </w:r>
      <w:r w:rsidRPr="008165B0">
        <w:t xml:space="preserve"> kancelaryjn</w:t>
      </w:r>
      <w:r w:rsidR="008165B0">
        <w:t>ą</w:t>
      </w:r>
      <w:r w:rsidRPr="008165B0">
        <w:t>.</w:t>
      </w:r>
    </w:p>
    <w:p w14:paraId="3CA24C40" w14:textId="77777777" w:rsidR="00E27636" w:rsidRPr="008165B0" w:rsidRDefault="00E27636" w:rsidP="00E27636">
      <w:pPr>
        <w:ind w:left="851"/>
        <w:jc w:val="both"/>
      </w:pPr>
    </w:p>
    <w:p w14:paraId="37C0C23B" w14:textId="77777777" w:rsidR="00E27636" w:rsidRPr="008165B0" w:rsidRDefault="00E27636" w:rsidP="00E27636">
      <w:pPr>
        <w:pStyle w:val="Akapitzlist"/>
        <w:numPr>
          <w:ilvl w:val="1"/>
          <w:numId w:val="8"/>
        </w:numPr>
        <w:spacing w:line="276" w:lineRule="auto"/>
        <w:jc w:val="both"/>
      </w:pPr>
      <w:r w:rsidRPr="008165B0">
        <w:t>W skład pionu ochrony wchodzą:</w:t>
      </w:r>
    </w:p>
    <w:p w14:paraId="78E817B7" w14:textId="77777777" w:rsidR="00E27636" w:rsidRPr="008165B0" w:rsidRDefault="00E27636" w:rsidP="00E27636">
      <w:pPr>
        <w:pStyle w:val="Akapitzlist"/>
        <w:numPr>
          <w:ilvl w:val="0"/>
          <w:numId w:val="9"/>
        </w:numPr>
        <w:spacing w:line="276" w:lineRule="auto"/>
        <w:jc w:val="both"/>
      </w:pPr>
      <w:r w:rsidRPr="008165B0">
        <w:t xml:space="preserve">Pełnomocnik ochrony informacji niejawnych, zwany dalej „Pełnomocnikiem”,– pracownik zatrudniony na stanowisku Kierownika Urzędu Stanu Cywilnego w Warcie Bolesławieckiej, </w:t>
      </w:r>
    </w:p>
    <w:p w14:paraId="7AE2AFDA" w14:textId="60BFA56B" w:rsidR="00E27636" w:rsidRPr="008165B0" w:rsidRDefault="00E27636" w:rsidP="00E27636">
      <w:pPr>
        <w:pStyle w:val="Akapitzlist"/>
        <w:numPr>
          <w:ilvl w:val="0"/>
          <w:numId w:val="9"/>
        </w:numPr>
        <w:spacing w:line="276" w:lineRule="auto"/>
        <w:jc w:val="both"/>
      </w:pPr>
      <w:r w:rsidRPr="008165B0">
        <w:t>Inspektor Bezpieczeństwa Teleinformatycznego - pracownik Urzędu lub osoba z zewnątrz,</w:t>
      </w:r>
    </w:p>
    <w:p w14:paraId="3B87E693" w14:textId="2965D463" w:rsidR="00E27636" w:rsidRPr="008165B0" w:rsidRDefault="00E27636" w:rsidP="00E27636">
      <w:pPr>
        <w:pStyle w:val="Akapitzlist"/>
        <w:numPr>
          <w:ilvl w:val="0"/>
          <w:numId w:val="9"/>
        </w:numPr>
        <w:spacing w:line="276" w:lineRule="auto"/>
        <w:jc w:val="both"/>
      </w:pPr>
      <w:r w:rsidRPr="008165B0">
        <w:t>Administrator Systemu - - pracownik Urzędu lub osoba z zewnątrz,</w:t>
      </w:r>
    </w:p>
    <w:p w14:paraId="236602FE" w14:textId="7E825453" w:rsidR="00E27636" w:rsidRPr="008165B0" w:rsidRDefault="00E27636" w:rsidP="00E27636">
      <w:pPr>
        <w:pStyle w:val="Akapitzlist"/>
        <w:numPr>
          <w:ilvl w:val="0"/>
          <w:numId w:val="9"/>
        </w:numPr>
        <w:spacing w:line="276" w:lineRule="auto"/>
        <w:jc w:val="both"/>
      </w:pPr>
      <w:r w:rsidRPr="008165B0">
        <w:t>pracownik punktu ewidencji materiałów niejawnych – pracownik Urzędu.</w:t>
      </w:r>
    </w:p>
    <w:p w14:paraId="65813F72" w14:textId="77777777" w:rsidR="00E27636" w:rsidRPr="008165B0" w:rsidRDefault="00E27636" w:rsidP="00E27636">
      <w:pPr>
        <w:pStyle w:val="Akapitzlist"/>
        <w:numPr>
          <w:ilvl w:val="1"/>
          <w:numId w:val="8"/>
        </w:numPr>
        <w:spacing w:line="276" w:lineRule="auto"/>
        <w:jc w:val="both"/>
      </w:pPr>
      <w:r w:rsidRPr="008165B0">
        <w:t>Do zadań pionu ochrony należy w szczególności:</w:t>
      </w:r>
    </w:p>
    <w:p w14:paraId="02EC524A" w14:textId="65A3EC8E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 xml:space="preserve"> zapewnienie przestrzegania zasad ochrony informacji niejawnych w Systemie, w tym właściwego i bezpiecznego obiegu dokumentów oraz elektronicznych nośników informacji</w:t>
      </w:r>
      <w:r w:rsidR="008165B0">
        <w:rPr>
          <w:rFonts w:ascii="Times New Roman" w:hAnsi="Times New Roman"/>
          <w:szCs w:val="24"/>
        </w:rPr>
        <w:t>,</w:t>
      </w:r>
    </w:p>
    <w:p w14:paraId="3F1D9855" w14:textId="727580EF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zapewnienie bezpieczeństwa fizycznego obszaru, w którym usytuowany jest System</w:t>
      </w:r>
      <w:r w:rsidR="008165B0">
        <w:rPr>
          <w:rFonts w:ascii="Times New Roman" w:hAnsi="Times New Roman"/>
          <w:szCs w:val="24"/>
        </w:rPr>
        <w:t>,</w:t>
      </w:r>
    </w:p>
    <w:p w14:paraId="6D69B83D" w14:textId="56AE6104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planowanie potrzeb rzeczowo-finansowych na zabezpieczenie, zgodnie z wymaganymi standardami, funkcjonowania Systemu</w:t>
      </w:r>
      <w:r w:rsidR="008165B0">
        <w:rPr>
          <w:rFonts w:ascii="Times New Roman" w:hAnsi="Times New Roman"/>
          <w:szCs w:val="24"/>
        </w:rPr>
        <w:t>,</w:t>
      </w:r>
    </w:p>
    <w:p w14:paraId="0BCDF852" w14:textId="1AD31091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zapewnienie dostępu do Systemu wyłącznie upoważnionym osobom, posiadającym odpowiednie i ważne poświadczenia bezpieczeństwa oraz uprawnienia</w:t>
      </w:r>
      <w:r w:rsidR="008165B0">
        <w:rPr>
          <w:rFonts w:ascii="Times New Roman" w:hAnsi="Times New Roman"/>
          <w:szCs w:val="24"/>
        </w:rPr>
        <w:t>,</w:t>
      </w:r>
    </w:p>
    <w:p w14:paraId="77BC1483" w14:textId="77777777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organizację i prowadzenie szkolenia użytkowników w zakresie bezpieczeństwa Systemu oraz ochrony informacji niejawnych w systemie;</w:t>
      </w:r>
    </w:p>
    <w:p w14:paraId="056BE4AC" w14:textId="65D1EB71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kontrolę znajomości przestrzegania procedur bezpiecznej eksploatacji przez użytkowników Systemu</w:t>
      </w:r>
      <w:r w:rsidR="008165B0">
        <w:rPr>
          <w:rFonts w:ascii="Times New Roman" w:hAnsi="Times New Roman"/>
          <w:szCs w:val="24"/>
        </w:rPr>
        <w:t>,</w:t>
      </w:r>
    </w:p>
    <w:p w14:paraId="1730505C" w14:textId="23EF9142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nadzór nad konfiguracją Systemu oraz przemieszczaniem elementów składowych</w:t>
      </w:r>
      <w:r w:rsidR="008165B0">
        <w:rPr>
          <w:rFonts w:ascii="Times New Roman" w:hAnsi="Times New Roman"/>
          <w:szCs w:val="24"/>
        </w:rPr>
        <w:t>,</w:t>
      </w:r>
    </w:p>
    <w:p w14:paraId="3387A3E7" w14:textId="13D405EF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prowadzenie ewidencji elementów Systemu, w tym wyrobów o przeznaczeniu specjalnym, służących do ochrony informacji niejawnych</w:t>
      </w:r>
      <w:r w:rsidR="008165B0">
        <w:rPr>
          <w:rFonts w:ascii="Times New Roman" w:hAnsi="Times New Roman"/>
          <w:szCs w:val="24"/>
        </w:rPr>
        <w:t>,</w:t>
      </w:r>
    </w:p>
    <w:p w14:paraId="75A79D85" w14:textId="47F44F4E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lastRenderedPageBreak/>
        <w:t>nadzór nad bezpieczną eksploatacją Systemu</w:t>
      </w:r>
      <w:r w:rsidR="008165B0">
        <w:rPr>
          <w:rFonts w:ascii="Times New Roman" w:hAnsi="Times New Roman"/>
          <w:szCs w:val="24"/>
        </w:rPr>
        <w:t>,</w:t>
      </w:r>
    </w:p>
    <w:p w14:paraId="4211A165" w14:textId="77777777" w:rsidR="00751871" w:rsidRPr="008165B0" w:rsidRDefault="00751871" w:rsidP="00751871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iCs/>
          <w:color w:val="000000"/>
          <w:szCs w:val="24"/>
        </w:rPr>
        <w:t xml:space="preserve">prowadzenie kontroli stanu zabezpieczenia informacji niejawnych oraz przestrzegania przepisów </w:t>
      </w:r>
      <w:r w:rsidRPr="008165B0">
        <w:rPr>
          <w:rFonts w:ascii="Times New Roman" w:hAnsi="Times New Roman"/>
          <w:color w:val="000000"/>
          <w:szCs w:val="24"/>
        </w:rPr>
        <w:t xml:space="preserve">o </w:t>
      </w:r>
      <w:r w:rsidRPr="008165B0">
        <w:rPr>
          <w:rFonts w:ascii="Times New Roman" w:hAnsi="Times New Roman"/>
          <w:iCs/>
          <w:color w:val="000000"/>
          <w:szCs w:val="24"/>
        </w:rPr>
        <w:t>ochronie tych informacji w jednostce organizacyjnej,</w:t>
      </w:r>
    </w:p>
    <w:p w14:paraId="5B32F445" w14:textId="65BDD4BD" w:rsidR="008165B0" w:rsidRPr="008165B0" w:rsidRDefault="00751871" w:rsidP="008165B0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bieżąc</w:t>
      </w:r>
      <w:r w:rsidR="008165B0" w:rsidRPr="008165B0">
        <w:rPr>
          <w:rFonts w:ascii="Times New Roman" w:hAnsi="Times New Roman"/>
          <w:szCs w:val="24"/>
        </w:rPr>
        <w:t xml:space="preserve">a </w:t>
      </w:r>
      <w:r w:rsidRPr="008165B0">
        <w:rPr>
          <w:rFonts w:ascii="Times New Roman" w:hAnsi="Times New Roman"/>
          <w:szCs w:val="24"/>
        </w:rPr>
        <w:t>kontrol</w:t>
      </w:r>
      <w:r w:rsidR="008165B0" w:rsidRPr="008165B0">
        <w:rPr>
          <w:rFonts w:ascii="Times New Roman" w:hAnsi="Times New Roman"/>
          <w:szCs w:val="24"/>
        </w:rPr>
        <w:t xml:space="preserve">a </w:t>
      </w:r>
      <w:r w:rsidRPr="008165B0">
        <w:rPr>
          <w:rFonts w:ascii="Times New Roman" w:hAnsi="Times New Roman"/>
          <w:szCs w:val="24"/>
        </w:rPr>
        <w:t>zgodności funkcjonowania systemu teleinformatycznego z dokumentacją bezpieczeństwa teleinformatycznego</w:t>
      </w:r>
      <w:r w:rsidR="008165B0" w:rsidRPr="008165B0">
        <w:rPr>
          <w:rFonts w:ascii="Times New Roman" w:hAnsi="Times New Roman"/>
          <w:szCs w:val="24"/>
        </w:rPr>
        <w:t xml:space="preserve"> obejmująca</w:t>
      </w:r>
      <w:r w:rsidRPr="008165B0">
        <w:rPr>
          <w:rFonts w:ascii="Times New Roman" w:hAnsi="Times New Roman"/>
          <w:szCs w:val="24"/>
        </w:rPr>
        <w:t xml:space="preserve"> w szczególności kontrol</w:t>
      </w:r>
      <w:r w:rsidR="008165B0">
        <w:rPr>
          <w:rFonts w:ascii="Times New Roman" w:hAnsi="Times New Roman"/>
          <w:szCs w:val="24"/>
        </w:rPr>
        <w:t>ę</w:t>
      </w:r>
      <w:r w:rsidR="008165B0" w:rsidRPr="008165B0">
        <w:rPr>
          <w:rFonts w:ascii="Times New Roman" w:hAnsi="Times New Roman"/>
          <w:szCs w:val="24"/>
        </w:rPr>
        <w:t xml:space="preserve"> </w:t>
      </w:r>
      <w:r w:rsidRPr="008165B0">
        <w:rPr>
          <w:rFonts w:ascii="Times New Roman" w:hAnsi="Times New Roman"/>
          <w:szCs w:val="24"/>
        </w:rPr>
        <w:t>przestrzegani</w:t>
      </w:r>
      <w:r w:rsidR="008165B0">
        <w:rPr>
          <w:rFonts w:ascii="Times New Roman" w:hAnsi="Times New Roman"/>
          <w:szCs w:val="24"/>
        </w:rPr>
        <w:t xml:space="preserve">a </w:t>
      </w:r>
      <w:r w:rsidRPr="008165B0">
        <w:rPr>
          <w:rFonts w:ascii="Times New Roman" w:hAnsi="Times New Roman"/>
          <w:szCs w:val="24"/>
        </w:rPr>
        <w:t>zasad ochrony informacji niejawnych w Systemie</w:t>
      </w:r>
      <w:r w:rsidR="008165B0" w:rsidRPr="008165B0">
        <w:rPr>
          <w:rFonts w:ascii="Times New Roman" w:hAnsi="Times New Roman"/>
          <w:szCs w:val="24"/>
        </w:rPr>
        <w:t xml:space="preserve">, </w:t>
      </w:r>
      <w:r w:rsidRPr="008165B0">
        <w:rPr>
          <w:rFonts w:ascii="Times New Roman" w:hAnsi="Times New Roman"/>
          <w:szCs w:val="24"/>
        </w:rPr>
        <w:t>stan zabezpieczeń pomieszczeń w którym usytuowany jest System</w:t>
      </w:r>
      <w:r w:rsidR="008165B0" w:rsidRPr="008165B0">
        <w:rPr>
          <w:rFonts w:ascii="Times New Roman" w:hAnsi="Times New Roman"/>
          <w:szCs w:val="24"/>
        </w:rPr>
        <w:t xml:space="preserve">, </w:t>
      </w:r>
      <w:r w:rsidRPr="008165B0">
        <w:rPr>
          <w:rFonts w:ascii="Times New Roman" w:hAnsi="Times New Roman"/>
          <w:szCs w:val="24"/>
        </w:rPr>
        <w:t>aktualność wykazów osób mających dostęp do Systemu, przydzielanie kont użytkownikom, zakres nadanych im uprawnień oraz prawidłowość zabezpieczeń zastosowanych w Systemie</w:t>
      </w:r>
      <w:r w:rsidR="008165B0" w:rsidRPr="008165B0">
        <w:rPr>
          <w:rFonts w:ascii="Times New Roman" w:hAnsi="Times New Roman"/>
          <w:szCs w:val="24"/>
        </w:rPr>
        <w:t>,</w:t>
      </w:r>
    </w:p>
    <w:p w14:paraId="58621F83" w14:textId="77777777" w:rsidR="008165B0" w:rsidRPr="008165B0" w:rsidRDefault="008165B0" w:rsidP="008165B0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czuwanie nad zapewnieniem stosowania się do zapisów Procedur Bezpiecznej Eksploatacji przez użytkowników Systemu,</w:t>
      </w:r>
    </w:p>
    <w:p w14:paraId="436C01D8" w14:textId="0E885D2A" w:rsidR="008165B0" w:rsidRPr="008165B0" w:rsidRDefault="008165B0" w:rsidP="008165B0">
      <w:pPr>
        <w:pStyle w:val="BodyText21"/>
        <w:numPr>
          <w:ilvl w:val="0"/>
          <w:numId w:val="15"/>
        </w:numPr>
        <w:tabs>
          <w:tab w:val="left" w:pos="0"/>
        </w:tabs>
        <w:ind w:left="1843"/>
        <w:rPr>
          <w:rFonts w:ascii="Times New Roman" w:hAnsi="Times New Roman"/>
          <w:szCs w:val="24"/>
        </w:rPr>
      </w:pPr>
      <w:r w:rsidRPr="008165B0">
        <w:rPr>
          <w:rFonts w:ascii="Times New Roman" w:hAnsi="Times New Roman"/>
          <w:szCs w:val="24"/>
        </w:rPr>
        <w:t>bieżąca realizacja zadań w zakresie zapewnienia funkcjonowania oraz przestrzegania zasad bezpieczeństwa systemu</w:t>
      </w:r>
      <w:r>
        <w:rPr>
          <w:rFonts w:ascii="Times New Roman" w:hAnsi="Times New Roman"/>
          <w:szCs w:val="24"/>
        </w:rPr>
        <w:t>.</w:t>
      </w:r>
    </w:p>
    <w:p w14:paraId="1513564C" w14:textId="1BFCDA58" w:rsidR="00E27636" w:rsidRPr="008165B0" w:rsidRDefault="00E27636" w:rsidP="00E27636">
      <w:pPr>
        <w:ind w:left="851"/>
        <w:jc w:val="both"/>
      </w:pPr>
    </w:p>
    <w:p w14:paraId="2840996E" w14:textId="77777777" w:rsidR="00E27636" w:rsidRPr="008165B0" w:rsidRDefault="00E27636" w:rsidP="009D0AA7">
      <w:pPr>
        <w:pStyle w:val="Akapitzlist"/>
        <w:spacing w:line="276" w:lineRule="auto"/>
        <w:jc w:val="both"/>
      </w:pPr>
    </w:p>
    <w:p w14:paraId="534BB0C8" w14:textId="085EBD1C" w:rsidR="00414EF2" w:rsidRPr="008165B0" w:rsidRDefault="00A426EA" w:rsidP="004060FB">
      <w:pPr>
        <w:pStyle w:val="Akapitzlist"/>
        <w:numPr>
          <w:ilvl w:val="0"/>
          <w:numId w:val="1"/>
        </w:numPr>
        <w:spacing w:line="276" w:lineRule="auto"/>
        <w:jc w:val="both"/>
      </w:pPr>
      <w:r>
        <w:t>S</w:t>
      </w:r>
      <w:r w:rsidR="008165B0">
        <w:t>chemat organizacyjny</w:t>
      </w:r>
      <w:r>
        <w:t xml:space="preserve"> stanowiący Załącznik</w:t>
      </w:r>
      <w:r w:rsidR="00932330" w:rsidRPr="008165B0">
        <w:t xml:space="preserve"> do Regulaminu Organizacyjnego stanowiącego Załącznik do Zarządzenia SOG.Z.25.2018 Wójta Gminy Warta Bolesławiecka z dnia 05 kwietnia 2018 roku otrzymuje brzmienie zgodne z treścią załącznika do niniejszego Zarządzenia.</w:t>
      </w:r>
    </w:p>
    <w:p w14:paraId="35AB4DF6" w14:textId="77777777" w:rsidR="00932330" w:rsidRPr="008165B0" w:rsidRDefault="00932330" w:rsidP="004060FB">
      <w:pPr>
        <w:spacing w:line="276" w:lineRule="auto"/>
        <w:jc w:val="center"/>
        <w:rPr>
          <w:sz w:val="22"/>
          <w:szCs w:val="22"/>
        </w:rPr>
      </w:pPr>
    </w:p>
    <w:p w14:paraId="216A7B0C" w14:textId="4DB1B64C" w:rsidR="004060FB" w:rsidRPr="008165B0" w:rsidRDefault="004060FB" w:rsidP="004060FB">
      <w:pPr>
        <w:spacing w:line="276" w:lineRule="auto"/>
        <w:jc w:val="center"/>
        <w:rPr>
          <w:sz w:val="22"/>
          <w:szCs w:val="22"/>
        </w:rPr>
      </w:pPr>
      <w:r w:rsidRPr="008165B0">
        <w:rPr>
          <w:sz w:val="22"/>
          <w:szCs w:val="22"/>
        </w:rPr>
        <w:t>§ 2.</w:t>
      </w:r>
    </w:p>
    <w:p w14:paraId="39ED3D47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5D54A80E" w14:textId="40044AAD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Wykonanie zarządzenia powierzam  sekretarzowi gminy.</w:t>
      </w:r>
    </w:p>
    <w:p w14:paraId="13C00412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4868D7FE" w14:textId="6C83E68A" w:rsidR="004060FB" w:rsidRPr="008165B0" w:rsidRDefault="004060FB" w:rsidP="004060FB">
      <w:pPr>
        <w:spacing w:line="276" w:lineRule="auto"/>
        <w:jc w:val="center"/>
        <w:rPr>
          <w:sz w:val="22"/>
          <w:szCs w:val="22"/>
        </w:rPr>
      </w:pPr>
      <w:r w:rsidRPr="008165B0">
        <w:rPr>
          <w:sz w:val="22"/>
          <w:szCs w:val="22"/>
        </w:rPr>
        <w:t xml:space="preserve">§ </w:t>
      </w:r>
      <w:r w:rsidR="00A426EA">
        <w:rPr>
          <w:sz w:val="22"/>
          <w:szCs w:val="22"/>
        </w:rPr>
        <w:t>3</w:t>
      </w:r>
      <w:r w:rsidRPr="008165B0">
        <w:rPr>
          <w:sz w:val="22"/>
          <w:szCs w:val="22"/>
        </w:rPr>
        <w:t>.</w:t>
      </w:r>
    </w:p>
    <w:p w14:paraId="34AB82F8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32CC285B" w14:textId="3D26B5D4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  <w:r w:rsidRPr="008165B0">
        <w:rPr>
          <w:sz w:val="22"/>
          <w:szCs w:val="22"/>
        </w:rPr>
        <w:t>Zarządzenie wchodzi w życie z dniem 0</w:t>
      </w:r>
      <w:r w:rsidR="008165B0">
        <w:rPr>
          <w:sz w:val="22"/>
          <w:szCs w:val="22"/>
        </w:rPr>
        <w:t>1</w:t>
      </w:r>
      <w:r w:rsidRPr="008165B0">
        <w:rPr>
          <w:sz w:val="22"/>
          <w:szCs w:val="22"/>
        </w:rPr>
        <w:t xml:space="preserve"> </w:t>
      </w:r>
      <w:r w:rsidR="00932330" w:rsidRPr="008165B0">
        <w:rPr>
          <w:sz w:val="22"/>
          <w:szCs w:val="22"/>
        </w:rPr>
        <w:t xml:space="preserve">stycznia </w:t>
      </w:r>
      <w:r w:rsidRPr="008165B0">
        <w:rPr>
          <w:sz w:val="22"/>
          <w:szCs w:val="22"/>
        </w:rPr>
        <w:t>202</w:t>
      </w:r>
      <w:r w:rsidR="00932330" w:rsidRPr="008165B0">
        <w:rPr>
          <w:sz w:val="22"/>
          <w:szCs w:val="22"/>
        </w:rPr>
        <w:t>1</w:t>
      </w:r>
      <w:r w:rsidRPr="008165B0">
        <w:rPr>
          <w:sz w:val="22"/>
          <w:szCs w:val="22"/>
        </w:rPr>
        <w:t xml:space="preserve"> roku.</w:t>
      </w:r>
    </w:p>
    <w:p w14:paraId="5D34F0BE" w14:textId="77777777" w:rsidR="004060FB" w:rsidRPr="008165B0" w:rsidRDefault="004060FB" w:rsidP="004060FB">
      <w:pPr>
        <w:pStyle w:val="Akapitzlist"/>
        <w:spacing w:line="276" w:lineRule="auto"/>
        <w:jc w:val="both"/>
        <w:rPr>
          <w:sz w:val="22"/>
          <w:szCs w:val="22"/>
        </w:rPr>
      </w:pPr>
    </w:p>
    <w:p w14:paraId="53048004" w14:textId="77777777" w:rsidR="004060FB" w:rsidRPr="008165B0" w:rsidRDefault="004060FB" w:rsidP="004060FB">
      <w:pPr>
        <w:spacing w:line="276" w:lineRule="auto"/>
        <w:jc w:val="both"/>
        <w:rPr>
          <w:sz w:val="22"/>
          <w:szCs w:val="22"/>
        </w:rPr>
      </w:pPr>
    </w:p>
    <w:p w14:paraId="6EAFEEDE" w14:textId="77777777" w:rsidR="004060FB" w:rsidRPr="008165B0" w:rsidRDefault="004060FB" w:rsidP="004060FB">
      <w:pPr>
        <w:spacing w:line="276" w:lineRule="auto"/>
        <w:jc w:val="both"/>
        <w:rPr>
          <w:b/>
          <w:sz w:val="22"/>
          <w:szCs w:val="22"/>
        </w:rPr>
      </w:pPr>
    </w:p>
    <w:p w14:paraId="6E6BBD8C" w14:textId="77777777" w:rsidR="004060FB" w:rsidRPr="008165B0" w:rsidRDefault="004060FB" w:rsidP="004060FB">
      <w:pPr>
        <w:spacing w:line="276" w:lineRule="auto"/>
        <w:jc w:val="both"/>
        <w:rPr>
          <w:b/>
          <w:sz w:val="20"/>
          <w:szCs w:val="20"/>
        </w:rPr>
      </w:pPr>
    </w:p>
    <w:p w14:paraId="36538A4A" w14:textId="77777777" w:rsidR="004060FB" w:rsidRPr="008165B0" w:rsidRDefault="004060FB" w:rsidP="004060FB">
      <w:pPr>
        <w:spacing w:line="276" w:lineRule="auto"/>
        <w:jc w:val="both"/>
        <w:rPr>
          <w:b/>
          <w:sz w:val="20"/>
          <w:szCs w:val="20"/>
        </w:rPr>
      </w:pPr>
    </w:p>
    <w:p w14:paraId="3DECF80C" w14:textId="77777777" w:rsidR="004060FB" w:rsidRPr="008165B0" w:rsidRDefault="004060FB" w:rsidP="004060FB">
      <w:pPr>
        <w:spacing w:line="276" w:lineRule="auto"/>
        <w:jc w:val="both"/>
        <w:rPr>
          <w:b/>
          <w:sz w:val="16"/>
          <w:szCs w:val="16"/>
        </w:rPr>
      </w:pPr>
    </w:p>
    <w:p w14:paraId="46F4C2EB" w14:textId="7388030A" w:rsidR="004060FB" w:rsidRPr="008165B0" w:rsidRDefault="004060FB" w:rsidP="004060FB">
      <w:pPr>
        <w:spacing w:line="276" w:lineRule="auto"/>
        <w:jc w:val="both"/>
        <w:rPr>
          <w:b/>
          <w:sz w:val="16"/>
          <w:szCs w:val="16"/>
        </w:rPr>
      </w:pP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Pr="008165B0">
        <w:rPr>
          <w:b/>
          <w:sz w:val="16"/>
          <w:szCs w:val="16"/>
        </w:rPr>
        <w:tab/>
      </w:r>
      <w:r w:rsidR="00932330" w:rsidRPr="008165B0">
        <w:rPr>
          <w:b/>
          <w:sz w:val="16"/>
          <w:szCs w:val="16"/>
        </w:rPr>
        <w:t>04.01</w:t>
      </w:r>
      <w:r w:rsidRPr="008165B0">
        <w:rPr>
          <w:b/>
          <w:sz w:val="16"/>
          <w:szCs w:val="16"/>
        </w:rPr>
        <w:t>.202</w:t>
      </w:r>
      <w:r w:rsidR="00932330" w:rsidRPr="008165B0">
        <w:rPr>
          <w:b/>
          <w:sz w:val="16"/>
          <w:szCs w:val="16"/>
        </w:rPr>
        <w:t>1</w:t>
      </w:r>
      <w:r w:rsidRPr="008165B0">
        <w:rPr>
          <w:b/>
          <w:sz w:val="16"/>
          <w:szCs w:val="16"/>
        </w:rPr>
        <w:t xml:space="preserve"> r.</w:t>
      </w:r>
    </w:p>
    <w:p w14:paraId="36E6940D" w14:textId="77777777" w:rsidR="004060FB" w:rsidRPr="008165B0" w:rsidRDefault="004060FB" w:rsidP="004060FB">
      <w:pPr>
        <w:spacing w:line="276" w:lineRule="auto"/>
        <w:jc w:val="right"/>
        <w:rPr>
          <w:b/>
          <w:sz w:val="20"/>
          <w:szCs w:val="20"/>
        </w:rPr>
      </w:pPr>
      <w:r w:rsidRPr="008165B0">
        <w:rPr>
          <w:b/>
          <w:sz w:val="20"/>
          <w:szCs w:val="20"/>
        </w:rPr>
        <w:t>...….…………………………………….</w:t>
      </w:r>
    </w:p>
    <w:p w14:paraId="46CA9907" w14:textId="77777777" w:rsidR="004060FB" w:rsidRPr="008165B0" w:rsidRDefault="004060FB" w:rsidP="004060FB">
      <w:pPr>
        <w:spacing w:line="276" w:lineRule="auto"/>
        <w:jc w:val="both"/>
        <w:rPr>
          <w:b/>
          <w:sz w:val="20"/>
          <w:szCs w:val="20"/>
        </w:rPr>
      </w:pPr>
    </w:p>
    <w:p w14:paraId="655D875E" w14:textId="77777777" w:rsidR="004060FB" w:rsidRPr="008165B0" w:rsidRDefault="004060FB" w:rsidP="004060FB">
      <w:pPr>
        <w:spacing w:line="276" w:lineRule="auto"/>
        <w:jc w:val="both"/>
        <w:rPr>
          <w:b/>
          <w:sz w:val="20"/>
          <w:szCs w:val="20"/>
        </w:rPr>
      </w:pPr>
    </w:p>
    <w:p w14:paraId="501F1B95" w14:textId="77777777" w:rsidR="004060FB" w:rsidRPr="008165B0" w:rsidRDefault="004060FB" w:rsidP="004060FB"/>
    <w:p w14:paraId="5471F553" w14:textId="77777777" w:rsidR="004060FB" w:rsidRPr="008165B0" w:rsidRDefault="004060FB" w:rsidP="004060FB"/>
    <w:p w14:paraId="7D86855A" w14:textId="77777777" w:rsidR="00D12B6F" w:rsidRPr="008165B0" w:rsidRDefault="00D12B6F"/>
    <w:sectPr w:rsidR="00D12B6F" w:rsidRPr="008165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6C84" w14:textId="77777777" w:rsidR="004D2773" w:rsidRDefault="004D2773" w:rsidP="004060FB">
      <w:r>
        <w:separator/>
      </w:r>
    </w:p>
  </w:endnote>
  <w:endnote w:type="continuationSeparator" w:id="0">
    <w:p w14:paraId="75656FB6" w14:textId="77777777" w:rsidR="004D2773" w:rsidRDefault="004D2773" w:rsidP="0040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7"/>
      <w:gridCol w:w="4525"/>
    </w:tblGrid>
    <w:tr w:rsidR="004060FB" w14:paraId="7811911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5EC2A0F" w14:textId="77777777" w:rsidR="004060FB" w:rsidRDefault="004060FB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016719F" w14:textId="77777777" w:rsidR="004060FB" w:rsidRDefault="004060FB">
          <w:pPr>
            <w:pStyle w:val="Nagwek"/>
            <w:jc w:val="right"/>
            <w:rPr>
              <w:caps/>
              <w:sz w:val="18"/>
            </w:rPr>
          </w:pPr>
        </w:p>
      </w:tc>
    </w:tr>
    <w:tr w:rsidR="004060FB" w14:paraId="6C27887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D51FCB90434474A3D9517D9FC4DA0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4F7FF44" w14:textId="71700DC8" w:rsidR="004060FB" w:rsidRDefault="004060FB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M.K.</w:t>
              </w:r>
            </w:p>
          </w:tc>
        </w:sdtContent>
      </w:sdt>
      <w:tc>
        <w:tcPr>
          <w:tcW w:w="4674" w:type="dxa"/>
          <w:vAlign w:val="center"/>
        </w:tcPr>
        <w:p w14:paraId="4908A826" w14:textId="77777777" w:rsidR="004060FB" w:rsidRDefault="004060FB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1B8BA81" w14:textId="77777777" w:rsidR="004060FB" w:rsidRDefault="0040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C66C" w14:textId="77777777" w:rsidR="004D2773" w:rsidRDefault="004D2773" w:rsidP="004060FB">
      <w:r>
        <w:separator/>
      </w:r>
    </w:p>
  </w:footnote>
  <w:footnote w:type="continuationSeparator" w:id="0">
    <w:p w14:paraId="1BAE4979" w14:textId="77777777" w:rsidR="004D2773" w:rsidRDefault="004D2773" w:rsidP="0040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71AD" w14:textId="39FF87A3" w:rsidR="004060FB" w:rsidRDefault="004060FB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035102" wp14:editId="6947769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2"/>
                              <w:szCs w:val="22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ABBA6D4" w14:textId="55BE4FC0" w:rsidR="004060FB" w:rsidRPr="004060FB" w:rsidRDefault="00A426EA">
                              <w:pPr>
                                <w:pStyle w:val="Nagwek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  <w:t>zmiana regulaminu organizacyjnego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035102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2"/>
                        <w:szCs w:val="22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ABBA6D4" w14:textId="55BE4FC0" w:rsidR="004060FB" w:rsidRPr="004060FB" w:rsidRDefault="00A426EA">
                        <w:pPr>
                          <w:pStyle w:val="Nagwek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2"/>
                            <w:szCs w:val="22"/>
                          </w:rPr>
                          <w:t>zmiana regulaminu organizacyjnego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630E"/>
    <w:multiLevelType w:val="hybridMultilevel"/>
    <w:tmpl w:val="D77A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4952"/>
    <w:multiLevelType w:val="hybridMultilevel"/>
    <w:tmpl w:val="0338D6D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652F8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72BB5"/>
    <w:multiLevelType w:val="hybridMultilevel"/>
    <w:tmpl w:val="D764BEFE"/>
    <w:lvl w:ilvl="0" w:tplc="B48CD4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22D53"/>
    <w:multiLevelType w:val="hybridMultilevel"/>
    <w:tmpl w:val="CBFAC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1FF2"/>
    <w:multiLevelType w:val="hybridMultilevel"/>
    <w:tmpl w:val="74204CCC"/>
    <w:lvl w:ilvl="0" w:tplc="99804CF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D50F8E"/>
    <w:multiLevelType w:val="hybridMultilevel"/>
    <w:tmpl w:val="CBFAC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0FDF"/>
    <w:multiLevelType w:val="multilevel"/>
    <w:tmpl w:val="18FCEF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788"/>
        </w:tabs>
        <w:ind w:left="178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216"/>
        </w:tabs>
        <w:ind w:left="3216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4284"/>
        </w:tabs>
        <w:ind w:left="42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712"/>
        </w:tabs>
        <w:ind w:left="5712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7140"/>
        </w:tabs>
        <w:ind w:left="714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8208"/>
        </w:tabs>
        <w:ind w:left="82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9636"/>
        </w:tabs>
        <w:ind w:left="9636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1064"/>
        </w:tabs>
        <w:ind w:left="11064" w:hanging="2520"/>
      </w:pPr>
    </w:lvl>
  </w:abstractNum>
  <w:abstractNum w:abstractNumId="7" w15:restartNumberingAfterBreak="0">
    <w:nsid w:val="4E426E10"/>
    <w:multiLevelType w:val="hybridMultilevel"/>
    <w:tmpl w:val="1402D410"/>
    <w:lvl w:ilvl="0" w:tplc="399C664E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E76457"/>
    <w:multiLevelType w:val="hybridMultilevel"/>
    <w:tmpl w:val="24763B44"/>
    <w:lvl w:ilvl="0" w:tplc="A482AB54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954F27"/>
    <w:multiLevelType w:val="multilevel"/>
    <w:tmpl w:val="7B46CD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2)"/>
      <w:lvlJc w:val="left"/>
      <w:pPr>
        <w:tabs>
          <w:tab w:val="num" w:pos="1788"/>
        </w:tabs>
        <w:ind w:left="17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68"/>
        </w:tabs>
        <w:ind w:left="286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48"/>
        </w:tabs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668"/>
        </w:tabs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28"/>
        </w:tabs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48"/>
        </w:tabs>
        <w:ind w:left="5748" w:hanging="2160"/>
      </w:pPr>
    </w:lvl>
  </w:abstractNum>
  <w:abstractNum w:abstractNumId="10" w15:restartNumberingAfterBreak="0">
    <w:nsid w:val="54B1507F"/>
    <w:multiLevelType w:val="hybridMultilevel"/>
    <w:tmpl w:val="E23CBCE8"/>
    <w:lvl w:ilvl="0" w:tplc="4148B83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A83F03"/>
    <w:multiLevelType w:val="hybridMultilevel"/>
    <w:tmpl w:val="10C24E74"/>
    <w:lvl w:ilvl="0" w:tplc="3912D9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B43DB"/>
    <w:multiLevelType w:val="hybridMultilevel"/>
    <w:tmpl w:val="10E2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92335"/>
    <w:multiLevelType w:val="hybridMultilevel"/>
    <w:tmpl w:val="E6FCED34"/>
    <w:lvl w:ilvl="0" w:tplc="3912D9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21443"/>
    <w:multiLevelType w:val="hybridMultilevel"/>
    <w:tmpl w:val="B436F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04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84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482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1255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297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38096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702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078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305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705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561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574686">
    <w:abstractNumId w:val="11"/>
  </w:num>
  <w:num w:numId="13" w16cid:durableId="594899738">
    <w:abstractNumId w:val="11"/>
  </w:num>
  <w:num w:numId="14" w16cid:durableId="101263182">
    <w:abstractNumId w:val="0"/>
  </w:num>
  <w:num w:numId="15" w16cid:durableId="2023165098">
    <w:abstractNumId w:val="5"/>
  </w:num>
  <w:num w:numId="16" w16cid:durableId="105545611">
    <w:abstractNumId w:val="13"/>
  </w:num>
  <w:num w:numId="17" w16cid:durableId="1999963860">
    <w:abstractNumId w:val="3"/>
  </w:num>
  <w:num w:numId="18" w16cid:durableId="6478281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FB"/>
    <w:rsid w:val="0016023E"/>
    <w:rsid w:val="002F35F9"/>
    <w:rsid w:val="004060FB"/>
    <w:rsid w:val="00414EF2"/>
    <w:rsid w:val="004D2773"/>
    <w:rsid w:val="00751871"/>
    <w:rsid w:val="008165B0"/>
    <w:rsid w:val="00932330"/>
    <w:rsid w:val="009707DE"/>
    <w:rsid w:val="009B3296"/>
    <w:rsid w:val="009D0AA7"/>
    <w:rsid w:val="00A426EA"/>
    <w:rsid w:val="00B35CE0"/>
    <w:rsid w:val="00D12B6F"/>
    <w:rsid w:val="00DE3ABE"/>
    <w:rsid w:val="00E27636"/>
    <w:rsid w:val="00E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0B4D9"/>
  <w15:chartTrackingRefBased/>
  <w15:docId w15:val="{8DE384B4-B92F-475F-A6D9-E35ACB0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F35F9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4060FB"/>
    <w:pPr>
      <w:ind w:left="426" w:hanging="426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060F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60FB"/>
    <w:pPr>
      <w:ind w:left="720"/>
      <w:contextualSpacing/>
    </w:pPr>
  </w:style>
  <w:style w:type="table" w:styleId="Tabela-Siatka">
    <w:name w:val="Table Grid"/>
    <w:basedOn w:val="Standardowy"/>
    <w:uiPriority w:val="59"/>
    <w:rsid w:val="004060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6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0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60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0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F35F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BodyText21">
    <w:name w:val="Body Text 21"/>
    <w:basedOn w:val="Normalny"/>
    <w:rsid w:val="00751871"/>
    <w:pPr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165B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16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51FCB90434474A3D9517D9FC4D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17C4C-6858-45FD-BE17-9BF5D88C4850}"/>
      </w:docPartPr>
      <w:docPartBody>
        <w:p w:rsidR="00E15AA5" w:rsidRDefault="00EB4785" w:rsidP="00EB4785">
          <w:pPr>
            <w:pStyle w:val="FDD51FCB90434474A3D9517D9FC4DA09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85"/>
    <w:rsid w:val="00096AD8"/>
    <w:rsid w:val="001820E8"/>
    <w:rsid w:val="003439F2"/>
    <w:rsid w:val="00C228DF"/>
    <w:rsid w:val="00E15AA5"/>
    <w:rsid w:val="00EB4785"/>
    <w:rsid w:val="00E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4785"/>
    <w:rPr>
      <w:color w:val="808080"/>
    </w:rPr>
  </w:style>
  <w:style w:type="paragraph" w:customStyle="1" w:styleId="FDD51FCB90434474A3D9517D9FC4DA09">
    <w:name w:val="FDD51FCB90434474A3D9517D9FC4DA09"/>
    <w:rsid w:val="00EB4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regulaminu organizacyjnego 2020</dc:title>
  <dc:subject/>
  <dc:creator>M.K.</dc:creator>
  <cp:keywords/>
  <dc:description/>
  <cp:lastModifiedBy>UGWB</cp:lastModifiedBy>
  <cp:revision>2</cp:revision>
  <cp:lastPrinted>2021-01-14T12:25:00Z</cp:lastPrinted>
  <dcterms:created xsi:type="dcterms:W3CDTF">2025-07-30T12:43:00Z</dcterms:created>
  <dcterms:modified xsi:type="dcterms:W3CDTF">2025-07-30T12:43:00Z</dcterms:modified>
</cp:coreProperties>
</file>