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00D6B" w14:textId="77777777" w:rsidR="00496761" w:rsidRDefault="00496761" w:rsidP="001B1D64">
      <w:pPr>
        <w:pStyle w:val="Nagwek40"/>
        <w:keepNext/>
        <w:keepLines/>
        <w:shd w:val="clear" w:color="auto" w:fill="auto"/>
        <w:spacing w:line="200" w:lineRule="exact"/>
        <w:jc w:val="right"/>
        <w:rPr>
          <w:b w:val="0"/>
          <w:bCs w:val="0"/>
        </w:rPr>
      </w:pPr>
    </w:p>
    <w:p w14:paraId="5A2ABF26" w14:textId="77777777" w:rsidR="002201F6" w:rsidRDefault="002201F6" w:rsidP="001B1D64">
      <w:pPr>
        <w:pStyle w:val="Nagwek40"/>
        <w:keepNext/>
        <w:keepLines/>
        <w:shd w:val="clear" w:color="auto" w:fill="auto"/>
        <w:spacing w:line="200" w:lineRule="exact"/>
        <w:jc w:val="right"/>
        <w:rPr>
          <w:b w:val="0"/>
          <w:bCs w:val="0"/>
        </w:rPr>
      </w:pPr>
    </w:p>
    <w:p w14:paraId="34F4074C" w14:textId="77777777" w:rsidR="002201F6" w:rsidRDefault="002201F6" w:rsidP="001B1D64">
      <w:pPr>
        <w:pStyle w:val="Nagwek40"/>
        <w:keepNext/>
        <w:keepLines/>
        <w:shd w:val="clear" w:color="auto" w:fill="auto"/>
        <w:spacing w:line="200" w:lineRule="exact"/>
        <w:jc w:val="right"/>
        <w:rPr>
          <w:b w:val="0"/>
          <w:bCs w:val="0"/>
        </w:rPr>
      </w:pPr>
    </w:p>
    <w:p w14:paraId="10C8B711" w14:textId="77777777" w:rsidR="002201F6" w:rsidRPr="001B1D64" w:rsidRDefault="002201F6" w:rsidP="001B1D64">
      <w:pPr>
        <w:pStyle w:val="Nagwek40"/>
        <w:keepNext/>
        <w:keepLines/>
        <w:shd w:val="clear" w:color="auto" w:fill="auto"/>
        <w:spacing w:line="200" w:lineRule="exact"/>
        <w:jc w:val="right"/>
        <w:rPr>
          <w:b w:val="0"/>
          <w:bCs w:val="0"/>
        </w:rPr>
      </w:pPr>
      <w:bookmarkStart w:id="0" w:name="_GoBack"/>
      <w:bookmarkEnd w:id="0"/>
    </w:p>
    <w:p w14:paraId="29465F8C" w14:textId="77777777" w:rsidR="00496761" w:rsidRPr="001B1D64" w:rsidRDefault="00496761" w:rsidP="001B1D64">
      <w:pPr>
        <w:pStyle w:val="Teksttreci91"/>
        <w:shd w:val="clear" w:color="auto" w:fill="auto"/>
        <w:spacing w:line="200" w:lineRule="exact"/>
        <w:ind w:firstLine="0"/>
        <w:jc w:val="right"/>
        <w:rPr>
          <w:rStyle w:val="Teksttreci9"/>
        </w:rPr>
      </w:pPr>
    </w:p>
    <w:p w14:paraId="0BCC56A7" w14:textId="77777777" w:rsidR="00496761" w:rsidRPr="00E066A1" w:rsidRDefault="00496761" w:rsidP="00496761">
      <w:pPr>
        <w:pStyle w:val="Teksttreci91"/>
        <w:shd w:val="clear" w:color="auto" w:fill="auto"/>
        <w:spacing w:line="200" w:lineRule="exact"/>
        <w:ind w:firstLine="0"/>
      </w:pPr>
    </w:p>
    <w:tbl>
      <w:tblPr>
        <w:tblW w:w="979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9"/>
      </w:tblGrid>
      <w:tr w:rsidR="00496761" w:rsidRPr="00E066A1" w14:paraId="508A09AF" w14:textId="77777777" w:rsidTr="00513A38">
        <w:trPr>
          <w:trHeight w:val="6082"/>
        </w:trPr>
        <w:tc>
          <w:tcPr>
            <w:tcW w:w="9799" w:type="dxa"/>
          </w:tcPr>
          <w:p w14:paraId="39250183" w14:textId="77777777" w:rsidR="00496761" w:rsidRPr="00E066A1" w:rsidRDefault="00496761" w:rsidP="00496761">
            <w:pPr>
              <w:pStyle w:val="Teksttreci91"/>
              <w:shd w:val="clear" w:color="auto" w:fill="auto"/>
              <w:spacing w:line="200" w:lineRule="exact"/>
              <w:ind w:left="111" w:firstLine="0"/>
              <w:jc w:val="left"/>
              <w:rPr>
                <w:rStyle w:val="Teksttreci9"/>
                <w:b/>
                <w:bCs/>
              </w:rPr>
            </w:pPr>
          </w:p>
          <w:p w14:paraId="5BB7C4F2" w14:textId="77777777" w:rsidR="00496761" w:rsidRPr="00E066A1" w:rsidRDefault="00496761" w:rsidP="007C477B">
            <w:pPr>
              <w:pStyle w:val="Teksttreci91"/>
              <w:shd w:val="clear" w:color="auto" w:fill="auto"/>
              <w:spacing w:line="200" w:lineRule="exact"/>
              <w:ind w:left="6559" w:firstLine="0"/>
              <w:rPr>
                <w:rStyle w:val="Teksttreci9"/>
                <w:b/>
                <w:bCs/>
              </w:rPr>
            </w:pPr>
          </w:p>
          <w:p w14:paraId="4A68273E" w14:textId="77777777" w:rsidR="00496761" w:rsidRPr="00E066A1" w:rsidRDefault="00496761" w:rsidP="00496761">
            <w:pPr>
              <w:pStyle w:val="Teksttreci91"/>
              <w:shd w:val="clear" w:color="auto" w:fill="auto"/>
              <w:spacing w:line="200" w:lineRule="exact"/>
              <w:ind w:firstLine="0"/>
              <w:rPr>
                <w:rStyle w:val="Teksttreci9"/>
                <w:b/>
                <w:bCs/>
              </w:rPr>
            </w:pPr>
          </w:p>
          <w:p w14:paraId="18B642B4" w14:textId="77777777" w:rsidR="00496761" w:rsidRPr="00E066A1" w:rsidRDefault="00496761" w:rsidP="007C477B">
            <w:pPr>
              <w:pStyle w:val="Teksttreci91"/>
              <w:shd w:val="clear" w:color="auto" w:fill="auto"/>
              <w:spacing w:line="200" w:lineRule="exact"/>
              <w:ind w:firstLine="0"/>
              <w:jc w:val="left"/>
              <w:rPr>
                <w:rStyle w:val="Teksttreci9"/>
                <w:b/>
                <w:bCs/>
              </w:rPr>
            </w:pPr>
          </w:p>
          <w:p w14:paraId="41D176C8" w14:textId="4320E3DE" w:rsidR="0084245F" w:rsidRPr="0084245F" w:rsidRDefault="0084245F" w:rsidP="0084245F">
            <w:pPr>
              <w:pStyle w:val="Teksttreci91"/>
              <w:spacing w:line="200" w:lineRule="exact"/>
              <w:rPr>
                <w:rStyle w:val="Teksttreci9"/>
                <w:b/>
                <w:bCs/>
              </w:rPr>
            </w:pPr>
            <w:r>
              <w:rPr>
                <w:rStyle w:val="Teksttreci9"/>
                <w:b/>
                <w:bCs/>
              </w:rPr>
              <w:t xml:space="preserve"> </w:t>
            </w:r>
            <w:r w:rsidRPr="0084245F">
              <w:rPr>
                <w:rStyle w:val="Teksttreci9"/>
                <w:b/>
                <w:bCs/>
              </w:rPr>
              <w:t>Urząd Gminy Warta Bolesławiecka</w:t>
            </w:r>
          </w:p>
          <w:p w14:paraId="1BC6BF7C" w14:textId="77777777" w:rsidR="0084245F" w:rsidRPr="0084245F" w:rsidRDefault="0084245F" w:rsidP="0084245F">
            <w:pPr>
              <w:pStyle w:val="Teksttreci91"/>
              <w:spacing w:line="200" w:lineRule="exact"/>
              <w:rPr>
                <w:rStyle w:val="Teksttreci9"/>
                <w:b/>
                <w:bCs/>
              </w:rPr>
            </w:pPr>
            <w:r w:rsidRPr="0084245F">
              <w:rPr>
                <w:rStyle w:val="Teksttreci9"/>
                <w:b/>
                <w:bCs/>
              </w:rPr>
              <w:t>Warta Bolesławiecka 40c</w:t>
            </w:r>
          </w:p>
          <w:p w14:paraId="32ACAFF2" w14:textId="77777777" w:rsidR="0084245F" w:rsidRPr="0084245F" w:rsidRDefault="0084245F" w:rsidP="0084245F">
            <w:pPr>
              <w:pStyle w:val="Teksttreci91"/>
              <w:spacing w:line="200" w:lineRule="exact"/>
              <w:rPr>
                <w:rStyle w:val="Teksttreci9"/>
                <w:b/>
                <w:bCs/>
              </w:rPr>
            </w:pPr>
            <w:r w:rsidRPr="0084245F">
              <w:rPr>
                <w:rStyle w:val="Teksttreci9"/>
                <w:b/>
                <w:bCs/>
              </w:rPr>
              <w:t>59-720 Warta Bolesławiecka</w:t>
            </w:r>
          </w:p>
          <w:p w14:paraId="25E69DB9" w14:textId="77777777" w:rsidR="0084245F" w:rsidRPr="0084245F" w:rsidRDefault="0084245F" w:rsidP="0084245F">
            <w:pPr>
              <w:pStyle w:val="Teksttreci91"/>
              <w:spacing w:line="200" w:lineRule="exact"/>
              <w:rPr>
                <w:rStyle w:val="Teksttreci9"/>
                <w:b/>
                <w:bCs/>
              </w:rPr>
            </w:pPr>
            <w:r w:rsidRPr="0084245F">
              <w:rPr>
                <w:rStyle w:val="Teksttreci9"/>
                <w:b/>
                <w:bCs/>
              </w:rPr>
              <w:t>tel. 75 738 95 92, 75 738 95 97</w:t>
            </w:r>
          </w:p>
          <w:p w14:paraId="10779E60" w14:textId="2100244D" w:rsidR="007C477B" w:rsidRDefault="0084245F" w:rsidP="0084245F">
            <w:pPr>
              <w:pStyle w:val="Teksttreci91"/>
              <w:shd w:val="clear" w:color="auto" w:fill="auto"/>
              <w:spacing w:line="200" w:lineRule="exact"/>
              <w:ind w:firstLine="0"/>
              <w:rPr>
                <w:rStyle w:val="Teksttreci9"/>
                <w:b/>
                <w:bCs/>
              </w:rPr>
            </w:pPr>
            <w:r w:rsidRPr="0084245F">
              <w:rPr>
                <w:rStyle w:val="Teksttreci9"/>
                <w:b/>
                <w:bCs/>
              </w:rPr>
              <w:t xml:space="preserve">e-mail (sekretariat): urzad@wartabol.pl </w:t>
            </w:r>
          </w:p>
          <w:p w14:paraId="1D7D7411" w14:textId="536AC2C1" w:rsidR="000D773B" w:rsidRPr="00E066A1" w:rsidRDefault="000D773B" w:rsidP="0084245F">
            <w:pPr>
              <w:pStyle w:val="Teksttreci91"/>
              <w:shd w:val="clear" w:color="auto" w:fill="auto"/>
              <w:spacing w:line="200" w:lineRule="exact"/>
              <w:ind w:firstLine="0"/>
              <w:rPr>
                <w:rStyle w:val="Teksttreci9"/>
                <w:b/>
                <w:bCs/>
              </w:rPr>
            </w:pPr>
            <w:r>
              <w:rPr>
                <w:rStyle w:val="Teksttreci9"/>
                <w:b/>
                <w:bCs/>
              </w:rPr>
              <w:t xml:space="preserve">ePUAP:  </w:t>
            </w:r>
            <w:r w:rsidRPr="000D773B">
              <w:rPr>
                <w:rStyle w:val="Teksttreci9"/>
                <w:b/>
                <w:bCs/>
              </w:rPr>
              <w:t>52om84quuz</w:t>
            </w:r>
          </w:p>
          <w:p w14:paraId="58037E26" w14:textId="77777777" w:rsidR="007C477B" w:rsidRPr="00E066A1" w:rsidRDefault="007C477B" w:rsidP="00496761">
            <w:pPr>
              <w:pStyle w:val="Teksttreci91"/>
              <w:shd w:val="clear" w:color="auto" w:fill="auto"/>
              <w:spacing w:line="200" w:lineRule="exact"/>
              <w:ind w:firstLine="0"/>
              <w:rPr>
                <w:rStyle w:val="Teksttreci9"/>
                <w:b/>
                <w:bCs/>
              </w:rPr>
            </w:pPr>
          </w:p>
          <w:p w14:paraId="190B5744" w14:textId="77777777" w:rsidR="007C477B" w:rsidRPr="00E066A1" w:rsidRDefault="007C477B" w:rsidP="00496761">
            <w:pPr>
              <w:pStyle w:val="Teksttreci91"/>
              <w:shd w:val="clear" w:color="auto" w:fill="auto"/>
              <w:spacing w:line="200" w:lineRule="exact"/>
              <w:ind w:firstLine="0"/>
              <w:rPr>
                <w:rStyle w:val="Teksttreci9"/>
                <w:b/>
                <w:bCs/>
              </w:rPr>
            </w:pPr>
          </w:p>
          <w:p w14:paraId="631F8EE9" w14:textId="0D0326E7" w:rsidR="007C477B" w:rsidRDefault="007C477B" w:rsidP="00496761">
            <w:pPr>
              <w:pStyle w:val="Teksttreci91"/>
              <w:shd w:val="clear" w:color="auto" w:fill="auto"/>
              <w:spacing w:line="200" w:lineRule="exact"/>
              <w:ind w:firstLine="0"/>
            </w:pPr>
          </w:p>
          <w:p w14:paraId="4CF81FD8" w14:textId="65EA7696" w:rsidR="00BE25B9" w:rsidRDefault="00BE25B9" w:rsidP="00496761">
            <w:pPr>
              <w:pStyle w:val="Teksttreci91"/>
              <w:shd w:val="clear" w:color="auto" w:fill="auto"/>
              <w:spacing w:line="200" w:lineRule="exact"/>
              <w:ind w:firstLine="0"/>
            </w:pPr>
          </w:p>
          <w:p w14:paraId="6ED43F84" w14:textId="77777777" w:rsidR="00BE25B9" w:rsidRPr="00E066A1" w:rsidRDefault="00BE25B9" w:rsidP="00496761">
            <w:pPr>
              <w:pStyle w:val="Teksttreci91"/>
              <w:shd w:val="clear" w:color="auto" w:fill="auto"/>
              <w:spacing w:line="200" w:lineRule="exact"/>
              <w:ind w:firstLine="0"/>
            </w:pPr>
          </w:p>
          <w:p w14:paraId="1A7B1A22" w14:textId="77777777" w:rsidR="001B1D64" w:rsidRDefault="0010511D" w:rsidP="001B1D64">
            <w:pPr>
              <w:pStyle w:val="Teksttreci91"/>
              <w:shd w:val="clear" w:color="auto" w:fill="auto"/>
              <w:spacing w:line="240" w:lineRule="auto"/>
              <w:ind w:firstLine="0"/>
              <w:rPr>
                <w:rStyle w:val="Teksttreci9BezpogrubieniaOdstpy0pt"/>
                <w:b/>
                <w:bCs/>
                <w:sz w:val="48"/>
                <w:szCs w:val="48"/>
                <w:vertAlign w:val="superscript"/>
              </w:rPr>
            </w:pPr>
            <w:r w:rsidRPr="001B1D64">
              <w:rPr>
                <w:rStyle w:val="Teksttreci9BezpogrubieniaOdstpy0pt"/>
                <w:b/>
                <w:bCs/>
                <w:sz w:val="48"/>
                <w:szCs w:val="48"/>
                <w:vertAlign w:val="superscript"/>
              </w:rPr>
              <w:t xml:space="preserve">Program polityki zdrowotnej </w:t>
            </w:r>
          </w:p>
          <w:p w14:paraId="7C180A5B" w14:textId="63CBFF5C" w:rsidR="0010511D" w:rsidRPr="001B1D64" w:rsidRDefault="0010511D" w:rsidP="001B1D64">
            <w:pPr>
              <w:pStyle w:val="Teksttreci91"/>
              <w:shd w:val="clear" w:color="auto" w:fill="auto"/>
              <w:spacing w:line="240" w:lineRule="auto"/>
              <w:ind w:firstLine="0"/>
              <w:rPr>
                <w:rStyle w:val="Teksttreci9BezpogrubieniaOdstpy0pt"/>
                <w:b/>
                <w:bCs/>
                <w:sz w:val="48"/>
                <w:szCs w:val="48"/>
                <w:vertAlign w:val="superscript"/>
              </w:rPr>
            </w:pPr>
            <w:r w:rsidRPr="001B1D64">
              <w:rPr>
                <w:rStyle w:val="Teksttreci9BezpogrubieniaOdstpy0pt"/>
                <w:b/>
                <w:bCs/>
                <w:sz w:val="48"/>
                <w:szCs w:val="48"/>
                <w:vertAlign w:val="superscript"/>
              </w:rPr>
              <w:t>w obszarze edukacji w zakresie osteoporozy i wczesnego</w:t>
            </w:r>
          </w:p>
          <w:p w14:paraId="4CBA7E39" w14:textId="24105B51" w:rsidR="00496761" w:rsidRPr="001B1D64" w:rsidRDefault="0010511D" w:rsidP="001B1D64">
            <w:pPr>
              <w:pStyle w:val="Teksttreci91"/>
              <w:shd w:val="clear" w:color="auto" w:fill="auto"/>
              <w:spacing w:line="240" w:lineRule="auto"/>
              <w:ind w:firstLine="0"/>
              <w:rPr>
                <w:rStyle w:val="Teksttreci9"/>
                <w:b/>
                <w:bCs/>
                <w:spacing w:val="-10"/>
                <w:sz w:val="48"/>
                <w:szCs w:val="48"/>
                <w:vertAlign w:val="superscript"/>
              </w:rPr>
            </w:pPr>
            <w:r w:rsidRPr="001B1D64">
              <w:rPr>
                <w:rStyle w:val="Teksttreci9BezpogrubieniaOdstpy0pt"/>
                <w:b/>
                <w:bCs/>
                <w:sz w:val="48"/>
                <w:szCs w:val="48"/>
                <w:vertAlign w:val="superscript"/>
              </w:rPr>
              <w:t xml:space="preserve"> wykrywania osteoporozy w Gminie </w:t>
            </w:r>
            <w:r w:rsidR="00AD492D" w:rsidRPr="001B1D64">
              <w:rPr>
                <w:rStyle w:val="Teksttreci9BezpogrubieniaOdstpy0pt"/>
                <w:b/>
                <w:bCs/>
                <w:sz w:val="48"/>
                <w:szCs w:val="48"/>
                <w:vertAlign w:val="superscript"/>
              </w:rPr>
              <w:t>Warta Bolesławi</w:t>
            </w:r>
            <w:r w:rsidR="009D4A1C" w:rsidRPr="001B1D64">
              <w:rPr>
                <w:rStyle w:val="Teksttreci9BezpogrubieniaOdstpy0pt"/>
                <w:b/>
                <w:bCs/>
                <w:sz w:val="48"/>
                <w:szCs w:val="48"/>
                <w:vertAlign w:val="superscript"/>
              </w:rPr>
              <w:t>e</w:t>
            </w:r>
            <w:r w:rsidR="00AD492D" w:rsidRPr="001B1D64">
              <w:rPr>
                <w:rStyle w:val="Teksttreci9BezpogrubieniaOdstpy0pt"/>
                <w:b/>
                <w:bCs/>
                <w:sz w:val="48"/>
                <w:szCs w:val="48"/>
                <w:vertAlign w:val="superscript"/>
              </w:rPr>
              <w:t>cka</w:t>
            </w:r>
            <w:r w:rsidR="00496761" w:rsidRPr="001B1D64">
              <w:rPr>
                <w:rStyle w:val="Teksttreci9BezpogrubieniaOdstpy0pt"/>
                <w:b/>
                <w:bCs/>
                <w:sz w:val="28"/>
                <w:szCs w:val="28"/>
                <w:vertAlign w:val="superscript"/>
              </w:rPr>
              <w:br/>
            </w:r>
            <w:r w:rsidR="001B1D64">
              <w:rPr>
                <w:rStyle w:val="Teksttreci9"/>
                <w:b/>
                <w:bCs/>
                <w:sz w:val="28"/>
                <w:szCs w:val="28"/>
              </w:rPr>
              <w:t xml:space="preserve">na lata </w:t>
            </w:r>
            <w:r w:rsidRPr="001B1D64">
              <w:rPr>
                <w:rStyle w:val="Teksttreci9"/>
                <w:b/>
                <w:bCs/>
                <w:sz w:val="28"/>
                <w:szCs w:val="28"/>
              </w:rPr>
              <w:t>202</w:t>
            </w:r>
            <w:r w:rsidR="0084245F" w:rsidRPr="001B1D64">
              <w:rPr>
                <w:rStyle w:val="Teksttreci9"/>
                <w:b/>
                <w:bCs/>
                <w:sz w:val="28"/>
                <w:szCs w:val="28"/>
              </w:rPr>
              <w:t>3</w:t>
            </w:r>
            <w:r w:rsidRPr="001B1D64">
              <w:rPr>
                <w:rStyle w:val="Teksttreci9"/>
                <w:b/>
                <w:bCs/>
                <w:sz w:val="28"/>
                <w:szCs w:val="28"/>
              </w:rPr>
              <w:t>-202</w:t>
            </w:r>
            <w:r w:rsidR="0084245F" w:rsidRPr="001B1D64">
              <w:rPr>
                <w:rStyle w:val="Teksttreci9"/>
                <w:b/>
                <w:bCs/>
                <w:sz w:val="28"/>
                <w:szCs w:val="28"/>
              </w:rPr>
              <w:t>5</w:t>
            </w:r>
          </w:p>
          <w:p w14:paraId="29893B08" w14:textId="77777777" w:rsidR="007C477B" w:rsidRPr="00E066A1" w:rsidRDefault="007C477B" w:rsidP="00496761">
            <w:pPr>
              <w:pStyle w:val="Teksttreci91"/>
              <w:shd w:val="clear" w:color="auto" w:fill="auto"/>
              <w:spacing w:line="499" w:lineRule="exact"/>
              <w:ind w:firstLine="0"/>
              <w:rPr>
                <w:rStyle w:val="Teksttreci9"/>
                <w:b/>
                <w:bCs/>
              </w:rPr>
            </w:pPr>
          </w:p>
          <w:p w14:paraId="46115CF1" w14:textId="77777777" w:rsidR="00496761" w:rsidRPr="00E066A1" w:rsidRDefault="00496761" w:rsidP="00496761">
            <w:pPr>
              <w:pStyle w:val="Teksttreci91"/>
              <w:shd w:val="clear" w:color="auto" w:fill="auto"/>
              <w:spacing w:line="200" w:lineRule="exact"/>
              <w:ind w:firstLine="0"/>
              <w:rPr>
                <w:rStyle w:val="Teksttreci9"/>
                <w:b/>
                <w:bCs/>
              </w:rPr>
            </w:pPr>
          </w:p>
          <w:p w14:paraId="10EEC2FE" w14:textId="77777777" w:rsidR="0084245F" w:rsidRPr="0084245F" w:rsidRDefault="0084245F" w:rsidP="0084245F">
            <w:pPr>
              <w:pStyle w:val="Teksttreci91"/>
              <w:spacing w:line="200" w:lineRule="exact"/>
              <w:rPr>
                <w:rStyle w:val="Teksttreci9"/>
                <w:b/>
                <w:bCs/>
              </w:rPr>
            </w:pPr>
            <w:r w:rsidRPr="0084245F">
              <w:rPr>
                <w:rStyle w:val="Teksttreci9"/>
                <w:b/>
                <w:bCs/>
              </w:rPr>
              <w:t>Rekomendacja nr 9/2020 z dnia 30 listopada 2020</w:t>
            </w:r>
          </w:p>
          <w:p w14:paraId="32BB4D56" w14:textId="77777777" w:rsidR="0084245F" w:rsidRPr="0084245F" w:rsidRDefault="0084245F" w:rsidP="0084245F">
            <w:pPr>
              <w:pStyle w:val="Teksttreci91"/>
              <w:spacing w:line="200" w:lineRule="exact"/>
              <w:rPr>
                <w:rStyle w:val="Teksttreci9"/>
                <w:b/>
                <w:bCs/>
              </w:rPr>
            </w:pPr>
            <w:r w:rsidRPr="0084245F">
              <w:rPr>
                <w:rStyle w:val="Teksttreci9"/>
                <w:b/>
                <w:bCs/>
              </w:rPr>
              <w:t>Prezesa Agencji Oceny Technologii Medycznych i Taryfikacji</w:t>
            </w:r>
          </w:p>
          <w:p w14:paraId="5692A585" w14:textId="77777777" w:rsidR="0084245F" w:rsidRPr="0084245F" w:rsidRDefault="0084245F" w:rsidP="0084245F">
            <w:pPr>
              <w:pStyle w:val="Teksttreci91"/>
              <w:spacing w:line="200" w:lineRule="exact"/>
              <w:rPr>
                <w:rStyle w:val="Teksttreci9"/>
                <w:b/>
                <w:bCs/>
              </w:rPr>
            </w:pPr>
            <w:r w:rsidRPr="0084245F">
              <w:rPr>
                <w:rStyle w:val="Teksttreci9"/>
                <w:b/>
                <w:bCs/>
              </w:rPr>
              <w:t>w sprawie zalecanych technologii medycznych, działań</w:t>
            </w:r>
          </w:p>
          <w:p w14:paraId="52E4D1E2" w14:textId="77777777" w:rsidR="0084245F" w:rsidRPr="0084245F" w:rsidRDefault="0084245F" w:rsidP="0084245F">
            <w:pPr>
              <w:pStyle w:val="Teksttreci91"/>
              <w:spacing w:line="200" w:lineRule="exact"/>
              <w:rPr>
                <w:rStyle w:val="Teksttreci9"/>
                <w:b/>
                <w:bCs/>
              </w:rPr>
            </w:pPr>
            <w:r w:rsidRPr="0084245F">
              <w:rPr>
                <w:rStyle w:val="Teksttreci9"/>
                <w:b/>
                <w:bCs/>
              </w:rPr>
              <w:t>przeprowadzanych w ramach programów polityki zdrowotnej</w:t>
            </w:r>
          </w:p>
          <w:p w14:paraId="2F549A87" w14:textId="77777777" w:rsidR="0084245F" w:rsidRPr="0084245F" w:rsidRDefault="0084245F" w:rsidP="0084245F">
            <w:pPr>
              <w:pStyle w:val="Teksttreci91"/>
              <w:spacing w:line="200" w:lineRule="exact"/>
              <w:rPr>
                <w:rStyle w:val="Teksttreci9"/>
                <w:b/>
                <w:bCs/>
              </w:rPr>
            </w:pPr>
            <w:r w:rsidRPr="0084245F">
              <w:rPr>
                <w:rStyle w:val="Teksttreci9"/>
                <w:b/>
                <w:bCs/>
              </w:rPr>
              <w:t>oraz warunków realizacji tych programów, dotyczących wykrywania</w:t>
            </w:r>
          </w:p>
          <w:p w14:paraId="3BA0A808" w14:textId="61A37C4B" w:rsidR="007C477B" w:rsidRPr="00E066A1" w:rsidRDefault="0084245F" w:rsidP="0084245F">
            <w:pPr>
              <w:pStyle w:val="Teksttreci91"/>
              <w:shd w:val="clear" w:color="auto" w:fill="auto"/>
              <w:spacing w:line="200" w:lineRule="exact"/>
              <w:ind w:firstLine="0"/>
              <w:rPr>
                <w:rStyle w:val="Teksttreci9"/>
                <w:b/>
                <w:bCs/>
              </w:rPr>
            </w:pPr>
            <w:r w:rsidRPr="0084245F">
              <w:rPr>
                <w:rStyle w:val="Teksttreci9"/>
                <w:b/>
                <w:bCs/>
              </w:rPr>
              <w:t xml:space="preserve">osteoporozy </w:t>
            </w:r>
          </w:p>
          <w:p w14:paraId="1D5B11E7" w14:textId="77777777" w:rsidR="007C477B" w:rsidRPr="00E066A1" w:rsidRDefault="007C477B" w:rsidP="00496761">
            <w:pPr>
              <w:pStyle w:val="Teksttreci91"/>
              <w:shd w:val="clear" w:color="auto" w:fill="auto"/>
              <w:spacing w:line="200" w:lineRule="exact"/>
              <w:ind w:firstLine="0"/>
              <w:rPr>
                <w:rStyle w:val="Teksttreci9"/>
                <w:b/>
                <w:bCs/>
              </w:rPr>
            </w:pPr>
          </w:p>
          <w:p w14:paraId="49CA79F9" w14:textId="77777777" w:rsidR="007C477B" w:rsidRPr="00E066A1" w:rsidRDefault="007C477B" w:rsidP="00496761">
            <w:pPr>
              <w:pStyle w:val="Teksttreci91"/>
              <w:shd w:val="clear" w:color="auto" w:fill="auto"/>
              <w:spacing w:line="200" w:lineRule="exact"/>
              <w:ind w:firstLine="0"/>
              <w:rPr>
                <w:rStyle w:val="Teksttreci9"/>
                <w:b/>
                <w:bCs/>
              </w:rPr>
            </w:pPr>
          </w:p>
          <w:p w14:paraId="77B621FE" w14:textId="41BE5442" w:rsidR="007C477B" w:rsidRDefault="007C477B" w:rsidP="00496761">
            <w:pPr>
              <w:pStyle w:val="Teksttreci91"/>
              <w:shd w:val="clear" w:color="auto" w:fill="auto"/>
              <w:spacing w:line="200" w:lineRule="exact"/>
              <w:ind w:firstLine="0"/>
              <w:rPr>
                <w:rStyle w:val="Teksttreci9"/>
                <w:b/>
                <w:bCs/>
              </w:rPr>
            </w:pPr>
          </w:p>
          <w:p w14:paraId="018D2D8B" w14:textId="2018F0EF" w:rsidR="000D773B" w:rsidRDefault="000D773B" w:rsidP="00496761">
            <w:pPr>
              <w:pStyle w:val="Teksttreci91"/>
              <w:shd w:val="clear" w:color="auto" w:fill="auto"/>
              <w:spacing w:line="200" w:lineRule="exact"/>
              <w:ind w:firstLine="0"/>
              <w:rPr>
                <w:rStyle w:val="Teksttreci9"/>
                <w:b/>
                <w:bCs/>
              </w:rPr>
            </w:pPr>
          </w:p>
          <w:p w14:paraId="77DFC695" w14:textId="5ED22B97" w:rsidR="000D773B" w:rsidRDefault="000D773B" w:rsidP="00496761">
            <w:pPr>
              <w:pStyle w:val="Teksttreci91"/>
              <w:shd w:val="clear" w:color="auto" w:fill="auto"/>
              <w:spacing w:line="200" w:lineRule="exact"/>
              <w:ind w:firstLine="0"/>
              <w:rPr>
                <w:rStyle w:val="Teksttreci9"/>
                <w:b/>
                <w:bCs/>
              </w:rPr>
            </w:pPr>
          </w:p>
          <w:p w14:paraId="3FDF1FD7" w14:textId="6DD548BB" w:rsidR="000D773B" w:rsidRDefault="000D773B" w:rsidP="00496761">
            <w:pPr>
              <w:pStyle w:val="Teksttreci91"/>
              <w:shd w:val="clear" w:color="auto" w:fill="auto"/>
              <w:spacing w:line="200" w:lineRule="exact"/>
              <w:ind w:firstLine="0"/>
              <w:rPr>
                <w:rStyle w:val="Teksttreci9"/>
                <w:b/>
                <w:bCs/>
              </w:rPr>
            </w:pPr>
          </w:p>
          <w:p w14:paraId="2A540EAB" w14:textId="75C37CC7" w:rsidR="000D773B" w:rsidRDefault="000D773B" w:rsidP="00496761">
            <w:pPr>
              <w:pStyle w:val="Teksttreci91"/>
              <w:shd w:val="clear" w:color="auto" w:fill="auto"/>
              <w:spacing w:line="200" w:lineRule="exact"/>
              <w:ind w:firstLine="0"/>
              <w:rPr>
                <w:rStyle w:val="Teksttreci9"/>
                <w:b/>
                <w:bCs/>
              </w:rPr>
            </w:pPr>
          </w:p>
          <w:p w14:paraId="4EEEC73D" w14:textId="77777777" w:rsidR="000D773B" w:rsidRPr="00E066A1" w:rsidRDefault="000D773B" w:rsidP="000D773B">
            <w:pPr>
              <w:pStyle w:val="Teksttreci91"/>
              <w:shd w:val="clear" w:color="auto" w:fill="auto"/>
              <w:spacing w:line="200" w:lineRule="exact"/>
              <w:ind w:firstLine="0"/>
              <w:jc w:val="left"/>
              <w:rPr>
                <w:rStyle w:val="Teksttreci9"/>
                <w:b/>
                <w:bCs/>
              </w:rPr>
            </w:pPr>
          </w:p>
          <w:p w14:paraId="2142F3A1" w14:textId="77777777" w:rsidR="007C477B" w:rsidRPr="00E066A1" w:rsidRDefault="007C477B" w:rsidP="00496761">
            <w:pPr>
              <w:pStyle w:val="Teksttreci91"/>
              <w:shd w:val="clear" w:color="auto" w:fill="auto"/>
              <w:spacing w:line="200" w:lineRule="exact"/>
              <w:ind w:firstLine="0"/>
              <w:rPr>
                <w:rStyle w:val="Teksttreci9"/>
                <w:b/>
                <w:bCs/>
              </w:rPr>
            </w:pPr>
          </w:p>
          <w:p w14:paraId="20891FC3" w14:textId="77777777" w:rsidR="007C477B" w:rsidRPr="00E066A1" w:rsidRDefault="007C477B" w:rsidP="00496761">
            <w:pPr>
              <w:pStyle w:val="Teksttreci91"/>
              <w:shd w:val="clear" w:color="auto" w:fill="auto"/>
              <w:spacing w:line="200" w:lineRule="exact"/>
              <w:ind w:firstLine="0"/>
              <w:rPr>
                <w:rStyle w:val="Teksttreci9"/>
                <w:b/>
                <w:bCs/>
              </w:rPr>
            </w:pPr>
          </w:p>
          <w:p w14:paraId="47943F20" w14:textId="77777777" w:rsidR="00496761" w:rsidRPr="00E066A1" w:rsidRDefault="00496761" w:rsidP="00905DA0">
            <w:pPr>
              <w:pStyle w:val="Teksttreci91"/>
              <w:shd w:val="clear" w:color="auto" w:fill="auto"/>
              <w:spacing w:line="200" w:lineRule="exact"/>
              <w:ind w:firstLine="0"/>
              <w:jc w:val="left"/>
              <w:rPr>
                <w:rStyle w:val="Teksttreci9"/>
                <w:b/>
                <w:bCs/>
              </w:rPr>
            </w:pPr>
          </w:p>
          <w:p w14:paraId="1D468CD0" w14:textId="68D9BAF2" w:rsidR="00496761" w:rsidRPr="0084245F" w:rsidRDefault="00496761" w:rsidP="00496761">
            <w:pPr>
              <w:pStyle w:val="Teksttreci91"/>
              <w:shd w:val="clear" w:color="auto" w:fill="auto"/>
              <w:spacing w:line="200" w:lineRule="exact"/>
              <w:ind w:firstLine="0"/>
              <w:rPr>
                <w:b w:val="0"/>
                <w:bCs w:val="0"/>
              </w:rPr>
            </w:pPr>
            <w:r w:rsidRPr="0084245F">
              <w:rPr>
                <w:rStyle w:val="Teksttreci9"/>
                <w:b/>
                <w:bCs/>
              </w:rPr>
              <w:t>[</w:t>
            </w:r>
            <w:r w:rsidR="0084245F">
              <w:rPr>
                <w:rStyle w:val="Teksttreci9"/>
                <w:b/>
                <w:bCs/>
              </w:rPr>
              <w:t>Warta Bolesławiecka</w:t>
            </w:r>
            <w:r w:rsidR="0010511D" w:rsidRPr="0084245F">
              <w:rPr>
                <w:rStyle w:val="Teksttreci9"/>
                <w:b/>
                <w:bCs/>
              </w:rPr>
              <w:t>,</w:t>
            </w:r>
            <w:r w:rsidR="001B1D64">
              <w:rPr>
                <w:rStyle w:val="Teksttreci9"/>
                <w:b/>
                <w:bCs/>
              </w:rPr>
              <w:t xml:space="preserve"> dnia 16 marca </w:t>
            </w:r>
            <w:r w:rsidR="0010511D" w:rsidRPr="0084245F">
              <w:rPr>
                <w:rStyle w:val="Teksttreci9"/>
                <w:b/>
                <w:bCs/>
              </w:rPr>
              <w:t>202</w:t>
            </w:r>
            <w:r w:rsidR="0084245F">
              <w:rPr>
                <w:rStyle w:val="Teksttreci9"/>
                <w:b/>
                <w:bCs/>
              </w:rPr>
              <w:t>3</w:t>
            </w:r>
            <w:r w:rsidR="001B1D64">
              <w:rPr>
                <w:rStyle w:val="Teksttreci9"/>
                <w:b/>
                <w:bCs/>
              </w:rPr>
              <w:t xml:space="preserve"> roku</w:t>
            </w:r>
            <w:r w:rsidRPr="0084245F">
              <w:rPr>
                <w:rStyle w:val="Teksttreci9"/>
                <w:b/>
                <w:bCs/>
              </w:rPr>
              <w:t>]</w:t>
            </w:r>
          </w:p>
          <w:p w14:paraId="3694C767" w14:textId="77777777" w:rsidR="00496761" w:rsidRPr="00E066A1" w:rsidRDefault="00496761" w:rsidP="00496761">
            <w:pPr>
              <w:pStyle w:val="Nagwek40"/>
              <w:keepNext/>
              <w:keepLines/>
              <w:shd w:val="clear" w:color="auto" w:fill="auto"/>
              <w:spacing w:line="200" w:lineRule="exact"/>
              <w:ind w:left="111"/>
              <w:jc w:val="left"/>
            </w:pPr>
          </w:p>
          <w:p w14:paraId="04B28AF8" w14:textId="77777777" w:rsidR="00496761" w:rsidRPr="00E066A1" w:rsidRDefault="00496761" w:rsidP="00496761">
            <w:pPr>
              <w:pStyle w:val="Teksttreci91"/>
              <w:spacing w:line="200" w:lineRule="exact"/>
              <w:ind w:left="111"/>
              <w:jc w:val="left"/>
              <w:rPr>
                <w:rStyle w:val="Teksttreci9"/>
                <w:b/>
                <w:bCs/>
              </w:rPr>
            </w:pPr>
          </w:p>
        </w:tc>
      </w:tr>
    </w:tbl>
    <w:p w14:paraId="5AA26440" w14:textId="77777777" w:rsidR="00496761" w:rsidRPr="00E066A1" w:rsidRDefault="00496761">
      <w:pPr>
        <w:pStyle w:val="Nagwek40"/>
        <w:keepNext/>
        <w:keepLines/>
        <w:shd w:val="clear" w:color="auto" w:fill="auto"/>
        <w:spacing w:line="200" w:lineRule="exact"/>
        <w:jc w:val="left"/>
      </w:pPr>
      <w:bookmarkStart w:id="1" w:name="bookmark5"/>
    </w:p>
    <w:p w14:paraId="731D94D3" w14:textId="5FD2938A" w:rsidR="00496761" w:rsidRPr="00E066A1" w:rsidRDefault="00496761" w:rsidP="0084245F">
      <w:r w:rsidRPr="00E066A1">
        <w:rPr>
          <w:rFonts w:ascii="Times New Roman" w:hAnsi="Times New Roman" w:cs="Times New Roman"/>
        </w:rPr>
        <w:br w:type="page"/>
      </w:r>
    </w:p>
    <w:bookmarkEnd w:id="1"/>
    <w:p w14:paraId="39F60FB0" w14:textId="395E45DA" w:rsidR="004D3E73" w:rsidRPr="00E066A1" w:rsidRDefault="000D773B" w:rsidP="00E066A1">
      <w:pPr>
        <w:pStyle w:val="Nagwek40"/>
        <w:keepNext/>
        <w:keepLines/>
        <w:shd w:val="clear" w:color="auto" w:fill="auto"/>
        <w:spacing w:line="200" w:lineRule="exact"/>
        <w:jc w:val="left"/>
      </w:pPr>
      <w:r>
        <w:lastRenderedPageBreak/>
        <w:t xml:space="preserve"> </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5"/>
      </w:tblGrid>
      <w:tr w:rsidR="00513A38" w:rsidRPr="00E066A1" w14:paraId="26FDEFED" w14:textId="77777777" w:rsidTr="00C31056">
        <w:trPr>
          <w:trHeight w:val="12440"/>
        </w:trPr>
        <w:tc>
          <w:tcPr>
            <w:tcW w:w="9805" w:type="dxa"/>
          </w:tcPr>
          <w:p w14:paraId="5B697472" w14:textId="77777777" w:rsidR="000D773B" w:rsidRDefault="000D773B" w:rsidP="00E066A1">
            <w:pPr>
              <w:pStyle w:val="Nagwek40"/>
              <w:keepNext/>
              <w:keepLines/>
              <w:shd w:val="clear" w:color="auto" w:fill="auto"/>
              <w:spacing w:line="360" w:lineRule="auto"/>
              <w:ind w:left="23"/>
              <w:jc w:val="left"/>
              <w:rPr>
                <w:sz w:val="22"/>
                <w:szCs w:val="22"/>
              </w:rPr>
            </w:pPr>
            <w:bookmarkStart w:id="2" w:name="bookmark6"/>
          </w:p>
          <w:p w14:paraId="2FC4B219" w14:textId="317B1F38" w:rsidR="00513A38" w:rsidRPr="00E066A1" w:rsidRDefault="00513A38" w:rsidP="00E066A1">
            <w:pPr>
              <w:pStyle w:val="Nagwek40"/>
              <w:keepNext/>
              <w:keepLines/>
              <w:shd w:val="clear" w:color="auto" w:fill="auto"/>
              <w:spacing w:line="360" w:lineRule="auto"/>
              <w:ind w:left="23"/>
              <w:jc w:val="left"/>
              <w:rPr>
                <w:sz w:val="22"/>
                <w:szCs w:val="22"/>
                <w:vertAlign w:val="superscript"/>
              </w:rPr>
            </w:pPr>
            <w:r w:rsidRPr="00E066A1">
              <w:rPr>
                <w:sz w:val="22"/>
                <w:szCs w:val="22"/>
              </w:rPr>
              <w:t>[</w:t>
            </w:r>
            <w:r w:rsidR="000D773B">
              <w:rPr>
                <w:sz w:val="22"/>
                <w:szCs w:val="22"/>
              </w:rPr>
              <w:t>SPIS TREŚCI</w:t>
            </w:r>
            <w:r w:rsidRPr="00E066A1">
              <w:rPr>
                <w:sz w:val="22"/>
                <w:szCs w:val="22"/>
              </w:rPr>
              <w:t>]</w:t>
            </w:r>
          </w:p>
          <w:p w14:paraId="27F136C9" w14:textId="77777777" w:rsidR="004D3E73" w:rsidRPr="00E066A1" w:rsidRDefault="00513A38" w:rsidP="00E066A1">
            <w:pPr>
              <w:pStyle w:val="Nagwek40"/>
              <w:keepNext/>
              <w:keepLines/>
              <w:numPr>
                <w:ilvl w:val="0"/>
                <w:numId w:val="2"/>
              </w:numPr>
              <w:shd w:val="clear" w:color="auto" w:fill="auto"/>
              <w:tabs>
                <w:tab w:val="left" w:pos="806"/>
              </w:tabs>
              <w:spacing w:line="360" w:lineRule="auto"/>
              <w:jc w:val="left"/>
              <w:rPr>
                <w:sz w:val="22"/>
                <w:szCs w:val="22"/>
              </w:rPr>
            </w:pPr>
            <w:bookmarkStart w:id="3" w:name="bookmark7"/>
            <w:r w:rsidRPr="00E066A1">
              <w:rPr>
                <w:sz w:val="22"/>
                <w:szCs w:val="22"/>
              </w:rPr>
              <w:t>Opis choroby lub problemu zdrowotnego i uzasadnienie wprowadzenia programu</w:t>
            </w:r>
            <w:r w:rsidRPr="00E066A1">
              <w:rPr>
                <w:sz w:val="22"/>
                <w:szCs w:val="22"/>
              </w:rPr>
              <w:br/>
              <w:t>polityki zdrowotnej</w:t>
            </w:r>
            <w:bookmarkEnd w:id="3"/>
          </w:p>
          <w:p w14:paraId="6BCF7E5B" w14:textId="77777777" w:rsidR="00513A38" w:rsidRPr="00E066A1" w:rsidRDefault="00513A38" w:rsidP="00E066A1">
            <w:pPr>
              <w:pStyle w:val="Nagwek40"/>
              <w:keepNext/>
              <w:keepLines/>
              <w:numPr>
                <w:ilvl w:val="0"/>
                <w:numId w:val="4"/>
              </w:numPr>
              <w:shd w:val="clear" w:color="auto" w:fill="auto"/>
              <w:spacing w:line="360" w:lineRule="auto"/>
              <w:ind w:left="1226" w:hanging="61"/>
              <w:jc w:val="left"/>
              <w:rPr>
                <w:b w:val="0"/>
                <w:sz w:val="22"/>
                <w:szCs w:val="22"/>
              </w:rPr>
            </w:pPr>
            <w:r w:rsidRPr="00E066A1">
              <w:rPr>
                <w:b w:val="0"/>
                <w:sz w:val="22"/>
                <w:szCs w:val="22"/>
              </w:rPr>
              <w:t>Opis problemu zdrowotnego</w:t>
            </w:r>
          </w:p>
          <w:p w14:paraId="122F51E3" w14:textId="77777777" w:rsidR="00513A38" w:rsidRPr="00E066A1" w:rsidRDefault="00513A38" w:rsidP="00E066A1">
            <w:pPr>
              <w:pStyle w:val="Teksttreci20"/>
              <w:numPr>
                <w:ilvl w:val="0"/>
                <w:numId w:val="3"/>
              </w:numPr>
              <w:shd w:val="clear" w:color="auto" w:fill="auto"/>
              <w:tabs>
                <w:tab w:val="left" w:pos="1209"/>
              </w:tabs>
              <w:spacing w:line="360" w:lineRule="auto"/>
              <w:ind w:left="1226" w:hanging="61"/>
              <w:jc w:val="left"/>
            </w:pPr>
            <w:r w:rsidRPr="00E066A1">
              <w:t>Dane epidemiologiczne</w:t>
            </w:r>
          </w:p>
          <w:p w14:paraId="3C652970" w14:textId="77777777" w:rsidR="00513A38" w:rsidRPr="00E066A1" w:rsidRDefault="004D3E73" w:rsidP="00E066A1">
            <w:pPr>
              <w:pStyle w:val="Teksttreci20"/>
              <w:numPr>
                <w:ilvl w:val="0"/>
                <w:numId w:val="3"/>
              </w:numPr>
              <w:shd w:val="clear" w:color="auto" w:fill="auto"/>
              <w:tabs>
                <w:tab w:val="left" w:pos="1209"/>
              </w:tabs>
              <w:spacing w:line="360" w:lineRule="auto"/>
              <w:ind w:left="1226" w:hanging="61"/>
              <w:jc w:val="left"/>
            </w:pPr>
            <w:r w:rsidRPr="00E066A1">
              <w:t>Opis obecnego postępowania</w:t>
            </w:r>
          </w:p>
          <w:p w14:paraId="0FF37B77" w14:textId="77777777" w:rsidR="00513A38" w:rsidRPr="00E066A1" w:rsidRDefault="00513A38" w:rsidP="00E066A1">
            <w:pPr>
              <w:pStyle w:val="Nagwek40"/>
              <w:keepNext/>
              <w:keepLines/>
              <w:numPr>
                <w:ilvl w:val="0"/>
                <w:numId w:val="2"/>
              </w:numPr>
              <w:shd w:val="clear" w:color="auto" w:fill="auto"/>
              <w:tabs>
                <w:tab w:val="left" w:pos="890"/>
              </w:tabs>
              <w:spacing w:line="360" w:lineRule="auto"/>
              <w:jc w:val="left"/>
              <w:rPr>
                <w:sz w:val="22"/>
                <w:szCs w:val="22"/>
              </w:rPr>
            </w:pPr>
            <w:bookmarkStart w:id="4" w:name="bookmark8"/>
            <w:r w:rsidRPr="00E066A1">
              <w:rPr>
                <w:sz w:val="22"/>
                <w:szCs w:val="22"/>
              </w:rPr>
              <w:t>Cele programu polityki zdrowotnej i mierniki efektywności jego realizacji</w:t>
            </w:r>
            <w:bookmarkEnd w:id="4"/>
          </w:p>
          <w:p w14:paraId="0AD44C8A" w14:textId="3E39A616" w:rsidR="00513A38" w:rsidRPr="00E066A1" w:rsidRDefault="00513A38" w:rsidP="00E066A1">
            <w:pPr>
              <w:pStyle w:val="Teksttreci20"/>
              <w:numPr>
                <w:ilvl w:val="0"/>
                <w:numId w:val="1"/>
              </w:numPr>
              <w:shd w:val="clear" w:color="auto" w:fill="auto"/>
              <w:tabs>
                <w:tab w:val="left" w:pos="1281"/>
              </w:tabs>
              <w:spacing w:line="360" w:lineRule="auto"/>
              <w:ind w:left="1084" w:firstLine="142"/>
              <w:jc w:val="left"/>
            </w:pPr>
            <w:r w:rsidRPr="00E066A1">
              <w:t>Cel główny</w:t>
            </w:r>
          </w:p>
          <w:p w14:paraId="0D89087A" w14:textId="44A578C7" w:rsidR="00513A38" w:rsidRPr="00E066A1" w:rsidRDefault="00513A38" w:rsidP="00E066A1">
            <w:pPr>
              <w:pStyle w:val="Teksttreci20"/>
              <w:numPr>
                <w:ilvl w:val="0"/>
                <w:numId w:val="1"/>
              </w:numPr>
              <w:shd w:val="clear" w:color="auto" w:fill="auto"/>
              <w:tabs>
                <w:tab w:val="left" w:pos="1281"/>
              </w:tabs>
              <w:spacing w:line="360" w:lineRule="auto"/>
              <w:ind w:left="1084" w:firstLine="142"/>
              <w:jc w:val="left"/>
            </w:pPr>
            <w:r w:rsidRPr="00E066A1">
              <w:t>Cele szczegółowe</w:t>
            </w:r>
          </w:p>
          <w:p w14:paraId="5D16E897" w14:textId="1B173B85" w:rsidR="004D3E73" w:rsidRPr="00E066A1" w:rsidRDefault="00513A38" w:rsidP="00E066A1">
            <w:pPr>
              <w:pStyle w:val="Teksttreci20"/>
              <w:numPr>
                <w:ilvl w:val="0"/>
                <w:numId w:val="1"/>
              </w:numPr>
              <w:shd w:val="clear" w:color="auto" w:fill="auto"/>
              <w:tabs>
                <w:tab w:val="left" w:pos="1368"/>
              </w:tabs>
              <w:spacing w:line="360" w:lineRule="auto"/>
              <w:ind w:left="1084" w:firstLine="142"/>
              <w:jc w:val="left"/>
            </w:pPr>
            <w:r w:rsidRPr="00E066A1">
              <w:t>Mierniki efektywności realizacji programu polityki zdrowotnej</w:t>
            </w:r>
            <w:bookmarkStart w:id="5" w:name="bookmark9"/>
          </w:p>
          <w:p w14:paraId="52E5D281" w14:textId="77777777" w:rsidR="00513A38" w:rsidRPr="00E066A1" w:rsidRDefault="00513A38" w:rsidP="00E066A1">
            <w:pPr>
              <w:pStyle w:val="Teksttreci20"/>
              <w:numPr>
                <w:ilvl w:val="0"/>
                <w:numId w:val="2"/>
              </w:numPr>
              <w:shd w:val="clear" w:color="auto" w:fill="auto"/>
              <w:tabs>
                <w:tab w:val="left" w:pos="1368"/>
              </w:tabs>
              <w:spacing w:line="360" w:lineRule="auto"/>
              <w:jc w:val="left"/>
              <w:rPr>
                <w:b/>
              </w:rPr>
            </w:pPr>
            <w:r w:rsidRPr="00E066A1">
              <w:rPr>
                <w:b/>
              </w:rPr>
              <w:t>Charakterystyka populacji docelowej oraz charakterystyka interwencji, jakie są</w:t>
            </w:r>
            <w:r w:rsidRPr="00E066A1">
              <w:rPr>
                <w:b/>
              </w:rPr>
              <w:br/>
              <w:t>planowane w ramach programu polityki zdrowotnej</w:t>
            </w:r>
            <w:bookmarkEnd w:id="5"/>
          </w:p>
          <w:p w14:paraId="55C97D0C" w14:textId="77777777" w:rsidR="00513A38" w:rsidRPr="00E066A1" w:rsidRDefault="00513A38" w:rsidP="00E066A1">
            <w:pPr>
              <w:pStyle w:val="Teksttreci20"/>
              <w:numPr>
                <w:ilvl w:val="0"/>
                <w:numId w:val="5"/>
              </w:numPr>
              <w:shd w:val="clear" w:color="auto" w:fill="auto"/>
              <w:tabs>
                <w:tab w:val="left" w:pos="1358"/>
              </w:tabs>
              <w:spacing w:line="360" w:lineRule="auto"/>
              <w:ind w:firstLine="483"/>
              <w:jc w:val="left"/>
            </w:pPr>
            <w:r w:rsidRPr="00E066A1">
              <w:t>Populacja docelowa</w:t>
            </w:r>
          </w:p>
          <w:p w14:paraId="2DCF1B90" w14:textId="77777777" w:rsidR="00513A38" w:rsidRPr="00E066A1" w:rsidRDefault="00513A38" w:rsidP="00E066A1">
            <w:pPr>
              <w:pStyle w:val="Teksttreci20"/>
              <w:numPr>
                <w:ilvl w:val="0"/>
                <w:numId w:val="5"/>
              </w:numPr>
              <w:shd w:val="clear" w:color="auto" w:fill="auto"/>
              <w:tabs>
                <w:tab w:val="left" w:pos="1358"/>
              </w:tabs>
              <w:spacing w:line="360" w:lineRule="auto"/>
              <w:ind w:left="1368" w:hanging="142"/>
              <w:jc w:val="left"/>
            </w:pPr>
            <w:r w:rsidRPr="00E066A1">
              <w:t>Kryteria kwalifikacji do udziału w programie polityki zdrowotnej oraz kryteria wyłączenia z</w:t>
            </w:r>
            <w:r w:rsidRPr="00E066A1">
              <w:br/>
              <w:t>programu polityki zdrowotnej</w:t>
            </w:r>
          </w:p>
          <w:p w14:paraId="7D6133DB" w14:textId="77777777" w:rsidR="00513A38" w:rsidRPr="00E066A1" w:rsidRDefault="00513A38" w:rsidP="00E066A1">
            <w:pPr>
              <w:pStyle w:val="Teksttreci20"/>
              <w:numPr>
                <w:ilvl w:val="0"/>
                <w:numId w:val="5"/>
              </w:numPr>
              <w:shd w:val="clear" w:color="auto" w:fill="auto"/>
              <w:tabs>
                <w:tab w:val="left" w:pos="1358"/>
              </w:tabs>
              <w:spacing w:line="360" w:lineRule="auto"/>
              <w:ind w:firstLine="483"/>
              <w:jc w:val="left"/>
            </w:pPr>
            <w:r w:rsidRPr="00E066A1">
              <w:t>Planowane interwencje</w:t>
            </w:r>
          </w:p>
          <w:p w14:paraId="150F62E1" w14:textId="77777777" w:rsidR="00513A38" w:rsidRPr="00E066A1" w:rsidRDefault="00513A38" w:rsidP="00E066A1">
            <w:pPr>
              <w:pStyle w:val="Teksttreci20"/>
              <w:numPr>
                <w:ilvl w:val="0"/>
                <w:numId w:val="5"/>
              </w:numPr>
              <w:shd w:val="clear" w:color="auto" w:fill="auto"/>
              <w:tabs>
                <w:tab w:val="left" w:pos="1358"/>
              </w:tabs>
              <w:spacing w:line="360" w:lineRule="auto"/>
              <w:ind w:firstLine="483"/>
              <w:jc w:val="left"/>
            </w:pPr>
            <w:r w:rsidRPr="00E066A1">
              <w:t>Sposób udzielania świadczeń zdrowotnych w ramach programu polityki zdrowotnej</w:t>
            </w:r>
          </w:p>
          <w:p w14:paraId="0A511135" w14:textId="77777777" w:rsidR="00513A38" w:rsidRPr="00E066A1" w:rsidRDefault="00513A38" w:rsidP="00E066A1">
            <w:pPr>
              <w:pStyle w:val="Teksttreci20"/>
              <w:numPr>
                <w:ilvl w:val="0"/>
                <w:numId w:val="5"/>
              </w:numPr>
              <w:shd w:val="clear" w:color="auto" w:fill="auto"/>
              <w:tabs>
                <w:tab w:val="left" w:pos="1358"/>
              </w:tabs>
              <w:spacing w:line="360" w:lineRule="auto"/>
              <w:ind w:firstLine="483"/>
              <w:jc w:val="left"/>
            </w:pPr>
            <w:r w:rsidRPr="00E066A1">
              <w:t>Sposób zakończenia udziału w programie polityki zdrowotnej</w:t>
            </w:r>
          </w:p>
          <w:p w14:paraId="630DCBF5" w14:textId="77777777" w:rsidR="00513A38" w:rsidRPr="00E066A1" w:rsidRDefault="00513A38" w:rsidP="00E066A1">
            <w:pPr>
              <w:pStyle w:val="Nagwek40"/>
              <w:keepNext/>
              <w:keepLines/>
              <w:numPr>
                <w:ilvl w:val="0"/>
                <w:numId w:val="2"/>
              </w:numPr>
              <w:shd w:val="clear" w:color="auto" w:fill="auto"/>
              <w:tabs>
                <w:tab w:val="left" w:pos="982"/>
              </w:tabs>
              <w:spacing w:line="360" w:lineRule="auto"/>
              <w:jc w:val="left"/>
              <w:rPr>
                <w:sz w:val="22"/>
                <w:szCs w:val="22"/>
              </w:rPr>
            </w:pPr>
            <w:bookmarkStart w:id="6" w:name="bookmark10"/>
            <w:r w:rsidRPr="00E066A1">
              <w:rPr>
                <w:sz w:val="22"/>
                <w:szCs w:val="22"/>
              </w:rPr>
              <w:t>Organizacja programu polityki zdrowotnej</w:t>
            </w:r>
            <w:bookmarkEnd w:id="6"/>
          </w:p>
          <w:p w14:paraId="23566E91" w14:textId="77777777" w:rsidR="00513A38" w:rsidRPr="00E066A1" w:rsidRDefault="00513A38" w:rsidP="00E066A1">
            <w:pPr>
              <w:pStyle w:val="Teksttreci20"/>
              <w:numPr>
                <w:ilvl w:val="0"/>
                <w:numId w:val="6"/>
              </w:numPr>
              <w:shd w:val="clear" w:color="auto" w:fill="auto"/>
              <w:spacing w:line="360" w:lineRule="auto"/>
              <w:ind w:firstLine="483"/>
              <w:jc w:val="left"/>
            </w:pPr>
            <w:r w:rsidRPr="00E066A1">
              <w:t>Etapy programu polityki zdrowotnej i działania podejmowane w ramach etapów</w:t>
            </w:r>
          </w:p>
          <w:p w14:paraId="45DC6E1E" w14:textId="77777777" w:rsidR="00513A38" w:rsidRPr="00E066A1" w:rsidRDefault="00513A38" w:rsidP="00E066A1">
            <w:pPr>
              <w:pStyle w:val="Teksttreci20"/>
              <w:numPr>
                <w:ilvl w:val="0"/>
                <w:numId w:val="6"/>
              </w:numPr>
              <w:shd w:val="clear" w:color="auto" w:fill="auto"/>
              <w:tabs>
                <w:tab w:val="left" w:pos="1204"/>
              </w:tabs>
              <w:spacing w:line="360" w:lineRule="auto"/>
              <w:ind w:left="1368" w:hanging="142"/>
              <w:jc w:val="left"/>
            </w:pPr>
            <w:r w:rsidRPr="00E066A1">
              <w:t>Warunki realizacji programu polityki zdrowotnej dotyczące personelu, wyposażenia i</w:t>
            </w:r>
            <w:r w:rsidR="00813C06" w:rsidRPr="00E066A1">
              <w:t xml:space="preserve"> </w:t>
            </w:r>
            <w:r w:rsidRPr="00E066A1">
              <w:t>warunków lokalowych</w:t>
            </w:r>
          </w:p>
          <w:p w14:paraId="34794CA4" w14:textId="77777777" w:rsidR="00813C06" w:rsidRPr="00E066A1" w:rsidRDefault="00513A38" w:rsidP="00E066A1">
            <w:pPr>
              <w:pStyle w:val="Nagwek40"/>
              <w:keepNext/>
              <w:keepLines/>
              <w:numPr>
                <w:ilvl w:val="0"/>
                <w:numId w:val="2"/>
              </w:numPr>
              <w:shd w:val="clear" w:color="auto" w:fill="auto"/>
              <w:tabs>
                <w:tab w:val="left" w:pos="982"/>
              </w:tabs>
              <w:spacing w:line="360" w:lineRule="auto"/>
              <w:jc w:val="left"/>
              <w:rPr>
                <w:sz w:val="22"/>
                <w:szCs w:val="22"/>
              </w:rPr>
            </w:pPr>
            <w:bookmarkStart w:id="7" w:name="bookmark11"/>
            <w:r w:rsidRPr="00E066A1">
              <w:rPr>
                <w:sz w:val="22"/>
                <w:szCs w:val="22"/>
              </w:rPr>
              <w:t>Sposób monitorowania i ewaluacji programu polityki zdrowotnej</w:t>
            </w:r>
            <w:bookmarkEnd w:id="7"/>
          </w:p>
          <w:p w14:paraId="2C7DFDF4" w14:textId="77777777" w:rsidR="00513A38" w:rsidRPr="00E066A1" w:rsidRDefault="00513A38" w:rsidP="00E066A1">
            <w:pPr>
              <w:pStyle w:val="Teksttreci20"/>
              <w:numPr>
                <w:ilvl w:val="0"/>
                <w:numId w:val="7"/>
              </w:numPr>
              <w:shd w:val="clear" w:color="auto" w:fill="auto"/>
              <w:tabs>
                <w:tab w:val="left" w:pos="1204"/>
              </w:tabs>
              <w:spacing w:line="360" w:lineRule="auto"/>
              <w:ind w:firstLine="460"/>
              <w:jc w:val="left"/>
            </w:pPr>
            <w:r w:rsidRPr="00E066A1">
              <w:t>Monitorowanie</w:t>
            </w:r>
          </w:p>
          <w:p w14:paraId="78845354" w14:textId="77777777" w:rsidR="00513A38" w:rsidRPr="00E066A1" w:rsidRDefault="00513A38" w:rsidP="00E066A1">
            <w:pPr>
              <w:pStyle w:val="Teksttreci20"/>
              <w:numPr>
                <w:ilvl w:val="0"/>
                <w:numId w:val="7"/>
              </w:numPr>
              <w:shd w:val="clear" w:color="auto" w:fill="auto"/>
              <w:tabs>
                <w:tab w:val="left" w:pos="1009"/>
              </w:tabs>
              <w:spacing w:line="360" w:lineRule="auto"/>
              <w:ind w:firstLine="460"/>
              <w:jc w:val="left"/>
            </w:pPr>
            <w:r w:rsidRPr="00E066A1">
              <w:t>Ewaluacja</w:t>
            </w:r>
          </w:p>
          <w:p w14:paraId="077DA79E" w14:textId="77777777" w:rsidR="00513A38" w:rsidRPr="00E066A1" w:rsidRDefault="00513A38" w:rsidP="00E066A1">
            <w:pPr>
              <w:pStyle w:val="Nagwek40"/>
              <w:keepNext/>
              <w:keepLines/>
              <w:numPr>
                <w:ilvl w:val="0"/>
                <w:numId w:val="2"/>
              </w:numPr>
              <w:shd w:val="clear" w:color="auto" w:fill="auto"/>
              <w:tabs>
                <w:tab w:val="left" w:pos="967"/>
              </w:tabs>
              <w:spacing w:line="360" w:lineRule="auto"/>
              <w:jc w:val="left"/>
              <w:rPr>
                <w:sz w:val="22"/>
                <w:szCs w:val="22"/>
              </w:rPr>
            </w:pPr>
            <w:bookmarkStart w:id="8" w:name="bookmark12"/>
            <w:r w:rsidRPr="00E066A1">
              <w:rPr>
                <w:sz w:val="22"/>
                <w:szCs w:val="22"/>
              </w:rPr>
              <w:t>Budżet programu polityki zdrowotnej</w:t>
            </w:r>
            <w:bookmarkEnd w:id="8"/>
          </w:p>
          <w:p w14:paraId="7A9413AA" w14:textId="77777777" w:rsidR="00C31056" w:rsidRPr="00E066A1" w:rsidRDefault="00C31056" w:rsidP="00E066A1">
            <w:pPr>
              <w:pStyle w:val="Teksttreci20"/>
              <w:numPr>
                <w:ilvl w:val="0"/>
                <w:numId w:val="8"/>
              </w:numPr>
              <w:shd w:val="clear" w:color="auto" w:fill="auto"/>
              <w:spacing w:line="360" w:lineRule="auto"/>
              <w:ind w:firstLine="488"/>
              <w:jc w:val="left"/>
            </w:pPr>
            <w:r w:rsidRPr="00E066A1">
              <w:t>Koszty jednostkowe</w:t>
            </w:r>
          </w:p>
          <w:p w14:paraId="1DC35499" w14:textId="77777777" w:rsidR="00C31056" w:rsidRPr="00E066A1" w:rsidRDefault="00C31056" w:rsidP="00E066A1">
            <w:pPr>
              <w:pStyle w:val="Teksttreci20"/>
              <w:numPr>
                <w:ilvl w:val="0"/>
                <w:numId w:val="8"/>
              </w:numPr>
              <w:shd w:val="clear" w:color="auto" w:fill="auto"/>
              <w:spacing w:line="360" w:lineRule="auto"/>
              <w:ind w:firstLine="488"/>
              <w:jc w:val="left"/>
            </w:pPr>
            <w:r w:rsidRPr="00E066A1">
              <w:t>Koszty całkowite</w:t>
            </w:r>
          </w:p>
          <w:p w14:paraId="69914487" w14:textId="65530CE5" w:rsidR="00C31056" w:rsidRPr="00E066A1" w:rsidRDefault="00C31056" w:rsidP="00E066A1">
            <w:pPr>
              <w:pStyle w:val="Teksttreci20"/>
              <w:numPr>
                <w:ilvl w:val="0"/>
                <w:numId w:val="8"/>
              </w:numPr>
              <w:shd w:val="clear" w:color="auto" w:fill="auto"/>
              <w:spacing w:line="360" w:lineRule="auto"/>
              <w:ind w:firstLine="488"/>
              <w:jc w:val="left"/>
            </w:pPr>
            <w:r w:rsidRPr="00E066A1">
              <w:t>Źródła finansowania</w:t>
            </w:r>
          </w:p>
          <w:p w14:paraId="04FECBCF" w14:textId="77777777" w:rsidR="00C31056" w:rsidRPr="00E066A1" w:rsidRDefault="00C31056" w:rsidP="00E066A1">
            <w:pPr>
              <w:pStyle w:val="Teksttreci20"/>
              <w:numPr>
                <w:ilvl w:val="0"/>
                <w:numId w:val="2"/>
              </w:numPr>
              <w:shd w:val="clear" w:color="auto" w:fill="auto"/>
              <w:spacing w:line="360" w:lineRule="auto"/>
              <w:jc w:val="left"/>
              <w:rPr>
                <w:b/>
              </w:rPr>
            </w:pPr>
            <w:r w:rsidRPr="00E066A1">
              <w:rPr>
                <w:b/>
              </w:rPr>
              <w:t>Bibliografia</w:t>
            </w:r>
          </w:p>
          <w:p w14:paraId="12595C5E" w14:textId="77777777" w:rsidR="00513A38" w:rsidRDefault="00513A38" w:rsidP="000D773B">
            <w:pPr>
              <w:pStyle w:val="Teksttreci91"/>
              <w:shd w:val="clear" w:color="auto" w:fill="auto"/>
              <w:spacing w:line="200" w:lineRule="exact"/>
              <w:ind w:firstLine="0"/>
              <w:jc w:val="left"/>
            </w:pPr>
          </w:p>
          <w:p w14:paraId="73048A35" w14:textId="77777777" w:rsidR="000D773B" w:rsidRDefault="000D773B" w:rsidP="000D773B">
            <w:pPr>
              <w:pStyle w:val="Teksttreci91"/>
              <w:shd w:val="clear" w:color="auto" w:fill="auto"/>
              <w:spacing w:line="200" w:lineRule="exact"/>
              <w:ind w:firstLine="0"/>
              <w:jc w:val="left"/>
            </w:pPr>
          </w:p>
          <w:p w14:paraId="2B068BDB" w14:textId="77777777" w:rsidR="000D773B" w:rsidRDefault="000D773B" w:rsidP="000D773B">
            <w:pPr>
              <w:pStyle w:val="Teksttreci91"/>
              <w:shd w:val="clear" w:color="auto" w:fill="auto"/>
              <w:spacing w:line="200" w:lineRule="exact"/>
              <w:ind w:firstLine="0"/>
              <w:jc w:val="left"/>
            </w:pPr>
          </w:p>
          <w:p w14:paraId="13B7BE27" w14:textId="77777777" w:rsidR="000D773B" w:rsidRDefault="000D773B" w:rsidP="000D773B">
            <w:pPr>
              <w:pStyle w:val="Teksttreci91"/>
              <w:shd w:val="clear" w:color="auto" w:fill="auto"/>
              <w:spacing w:line="200" w:lineRule="exact"/>
              <w:ind w:firstLine="0"/>
              <w:jc w:val="left"/>
            </w:pPr>
          </w:p>
          <w:p w14:paraId="17084D5D" w14:textId="77777777" w:rsidR="000D773B" w:rsidRDefault="000D773B" w:rsidP="000D773B">
            <w:pPr>
              <w:pStyle w:val="Teksttreci91"/>
              <w:shd w:val="clear" w:color="auto" w:fill="auto"/>
              <w:spacing w:line="200" w:lineRule="exact"/>
              <w:ind w:firstLine="0"/>
              <w:jc w:val="left"/>
            </w:pPr>
          </w:p>
          <w:p w14:paraId="15053D77" w14:textId="77777777" w:rsidR="000D773B" w:rsidRDefault="000D773B" w:rsidP="000D773B">
            <w:pPr>
              <w:pStyle w:val="Teksttreci91"/>
              <w:shd w:val="clear" w:color="auto" w:fill="auto"/>
              <w:spacing w:line="200" w:lineRule="exact"/>
              <w:ind w:firstLine="0"/>
              <w:jc w:val="left"/>
            </w:pPr>
          </w:p>
          <w:p w14:paraId="7387420D" w14:textId="348CB4EA" w:rsidR="000D773B" w:rsidRPr="00E066A1" w:rsidRDefault="000D773B" w:rsidP="000D773B">
            <w:pPr>
              <w:pStyle w:val="Teksttreci91"/>
              <w:shd w:val="clear" w:color="auto" w:fill="auto"/>
              <w:spacing w:line="200" w:lineRule="exact"/>
              <w:ind w:firstLine="0"/>
              <w:jc w:val="left"/>
            </w:pPr>
          </w:p>
        </w:tc>
      </w:tr>
      <w:bookmarkEnd w:id="2"/>
    </w:tbl>
    <w:p w14:paraId="76EA0CAB" w14:textId="2D87A5E1" w:rsidR="00E61ADA" w:rsidRPr="00E066A1" w:rsidRDefault="00E61ADA" w:rsidP="00E066A1">
      <w:pPr>
        <w:pStyle w:val="Teksttreci20"/>
        <w:shd w:val="clear" w:color="auto" w:fill="auto"/>
        <w:spacing w:line="276" w:lineRule="auto"/>
        <w:ind w:firstLine="0"/>
        <w:rPr>
          <w:sz w:val="24"/>
          <w:szCs w:val="24"/>
        </w:rPr>
      </w:pPr>
    </w:p>
    <w:p w14:paraId="0BF4F775" w14:textId="5465E041" w:rsidR="00E61ADA" w:rsidRPr="00E066A1" w:rsidRDefault="00545639">
      <w:pPr>
        <w:pStyle w:val="Teksttreci40"/>
        <w:numPr>
          <w:ilvl w:val="0"/>
          <w:numId w:val="9"/>
        </w:numPr>
        <w:shd w:val="clear" w:color="auto" w:fill="auto"/>
        <w:tabs>
          <w:tab w:val="left" w:pos="1150"/>
        </w:tabs>
        <w:spacing w:line="276" w:lineRule="auto"/>
        <w:ind w:left="284" w:hanging="284"/>
        <w:jc w:val="both"/>
        <w:rPr>
          <w:sz w:val="24"/>
          <w:szCs w:val="24"/>
        </w:rPr>
      </w:pPr>
      <w:r w:rsidRPr="00E066A1">
        <w:rPr>
          <w:sz w:val="24"/>
          <w:szCs w:val="24"/>
        </w:rPr>
        <w:lastRenderedPageBreak/>
        <w:t>Opis choroby lub problemu zdrowotnego i uzasadnienie wprowadzenia programu</w:t>
      </w:r>
      <w:r w:rsidR="00AA240A" w:rsidRPr="00E066A1">
        <w:rPr>
          <w:sz w:val="24"/>
          <w:szCs w:val="24"/>
        </w:rPr>
        <w:t xml:space="preserve"> </w:t>
      </w:r>
      <w:r w:rsidRPr="00E066A1">
        <w:rPr>
          <w:sz w:val="24"/>
          <w:szCs w:val="24"/>
        </w:rPr>
        <w:t>polityki zdrowotnej</w:t>
      </w:r>
    </w:p>
    <w:p w14:paraId="635906BC" w14:textId="712AE33B" w:rsidR="004A5E02" w:rsidRPr="00E066A1" w:rsidRDefault="004A5E02">
      <w:pPr>
        <w:pStyle w:val="Teksttreci40"/>
        <w:numPr>
          <w:ilvl w:val="0"/>
          <w:numId w:val="12"/>
        </w:numPr>
        <w:shd w:val="clear" w:color="auto" w:fill="auto"/>
        <w:tabs>
          <w:tab w:val="left" w:pos="1150"/>
        </w:tabs>
        <w:spacing w:line="276" w:lineRule="auto"/>
        <w:jc w:val="both"/>
        <w:rPr>
          <w:sz w:val="24"/>
          <w:szCs w:val="24"/>
        </w:rPr>
      </w:pPr>
      <w:r w:rsidRPr="00E066A1">
        <w:rPr>
          <w:sz w:val="24"/>
          <w:szCs w:val="24"/>
        </w:rPr>
        <w:t xml:space="preserve">Opis problemu zdrowotnego </w:t>
      </w:r>
    </w:p>
    <w:p w14:paraId="1B7DF478" w14:textId="7A171B8B" w:rsidR="00486624" w:rsidRPr="00E066A1" w:rsidRDefault="004A5E02" w:rsidP="00486624">
      <w:pPr>
        <w:pStyle w:val="Teksttreci40"/>
        <w:tabs>
          <w:tab w:val="left" w:pos="1150"/>
        </w:tabs>
        <w:spacing w:line="276" w:lineRule="auto"/>
        <w:ind w:left="720"/>
        <w:jc w:val="both"/>
        <w:rPr>
          <w:b w:val="0"/>
          <w:bCs w:val="0"/>
          <w:sz w:val="24"/>
          <w:szCs w:val="24"/>
        </w:rPr>
      </w:pPr>
      <w:r w:rsidRPr="00E066A1">
        <w:rPr>
          <w:b w:val="0"/>
          <w:bCs w:val="0"/>
          <w:sz w:val="24"/>
          <w:szCs w:val="24"/>
        </w:rPr>
        <w:tab/>
        <w:t>Osteoporoza to układowa choroba szkieletu, charakteryzująca się zwiększonym ryzykiem złamań kości w następstwie zmniejszenia ich odporności mechanicznej. Odporność mechaniczna kości jest uwarunkowana gęstością mineralną (MDB) i jakością tkanki kostnej. Do złamania niskoenergetycznego (patologicznego) może dojść nie tylko z powodu osteoporozy, lecz np. z powodu nowotworu. Złamanie niskoenergetyczne definiuje się jako złamanie pod wpływem siły, która nie łamie zdrowej kości (upadek z wysokości własnego ciała lub wystąpienie złamania samoistnego). Wyróżnia się dwa rodzaje osteoporozy:</w:t>
      </w:r>
    </w:p>
    <w:p w14:paraId="575D1117" w14:textId="1F4E09CF" w:rsidR="004A5E02" w:rsidRPr="00E066A1" w:rsidRDefault="004A5E02">
      <w:pPr>
        <w:pStyle w:val="Teksttreci40"/>
        <w:numPr>
          <w:ilvl w:val="0"/>
          <w:numId w:val="13"/>
        </w:numPr>
        <w:tabs>
          <w:tab w:val="left" w:pos="1150"/>
        </w:tabs>
        <w:spacing w:line="276" w:lineRule="auto"/>
        <w:jc w:val="both"/>
        <w:rPr>
          <w:b w:val="0"/>
          <w:bCs w:val="0"/>
          <w:sz w:val="24"/>
          <w:szCs w:val="24"/>
        </w:rPr>
      </w:pPr>
      <w:r w:rsidRPr="00E066A1">
        <w:rPr>
          <w:b w:val="0"/>
          <w:bCs w:val="0"/>
          <w:sz w:val="24"/>
          <w:szCs w:val="24"/>
        </w:rPr>
        <w:t>pierwotna, która rozwija się u kobiet po menopauzie i rzadziej u mężczyzn w podeszłym wieku,</w:t>
      </w:r>
    </w:p>
    <w:p w14:paraId="28658B7B" w14:textId="6DED97F4" w:rsidR="004A5E02" w:rsidRPr="00E066A1" w:rsidRDefault="004A5E02">
      <w:pPr>
        <w:pStyle w:val="Teksttreci40"/>
        <w:numPr>
          <w:ilvl w:val="0"/>
          <w:numId w:val="13"/>
        </w:numPr>
        <w:tabs>
          <w:tab w:val="left" w:pos="1150"/>
        </w:tabs>
        <w:spacing w:line="276" w:lineRule="auto"/>
        <w:jc w:val="both"/>
        <w:rPr>
          <w:b w:val="0"/>
          <w:bCs w:val="0"/>
          <w:sz w:val="24"/>
          <w:szCs w:val="24"/>
        </w:rPr>
      </w:pPr>
      <w:r w:rsidRPr="00E066A1">
        <w:rPr>
          <w:b w:val="0"/>
          <w:bCs w:val="0"/>
          <w:sz w:val="24"/>
          <w:szCs w:val="24"/>
        </w:rPr>
        <w:t>wtórna - jest następstwem różnych stanów patologicznych lub wynikiem działania niektórych leków, najczęściej glikokortykosteroidów (Szczeklik 2017).</w:t>
      </w:r>
    </w:p>
    <w:p w14:paraId="5AA4A547" w14:textId="66A39354" w:rsidR="004A5E02" w:rsidRPr="00E066A1" w:rsidRDefault="00675644" w:rsidP="00E066A1">
      <w:pPr>
        <w:pStyle w:val="Teksttreci40"/>
        <w:tabs>
          <w:tab w:val="left" w:pos="1150"/>
        </w:tabs>
        <w:spacing w:line="276" w:lineRule="auto"/>
        <w:ind w:left="720"/>
        <w:jc w:val="both"/>
        <w:rPr>
          <w:b w:val="0"/>
          <w:bCs w:val="0"/>
          <w:sz w:val="24"/>
          <w:szCs w:val="24"/>
        </w:rPr>
      </w:pPr>
      <w:r w:rsidRPr="00E066A1">
        <w:rPr>
          <w:b w:val="0"/>
          <w:bCs w:val="0"/>
          <w:sz w:val="24"/>
          <w:szCs w:val="24"/>
        </w:rPr>
        <w:tab/>
      </w:r>
      <w:r w:rsidR="004A5E02" w:rsidRPr="00E066A1">
        <w:rPr>
          <w:b w:val="0"/>
          <w:bCs w:val="0"/>
          <w:sz w:val="24"/>
          <w:szCs w:val="24"/>
        </w:rPr>
        <w:t>Do czynników ryzyka występowania osteoporozy pierwotnej zalicza się:</w:t>
      </w:r>
    </w:p>
    <w:p w14:paraId="79658C73" w14:textId="46E9D19B" w:rsidR="004A5E02" w:rsidRPr="00E066A1" w:rsidRDefault="004A5E02">
      <w:pPr>
        <w:pStyle w:val="Teksttreci40"/>
        <w:numPr>
          <w:ilvl w:val="0"/>
          <w:numId w:val="14"/>
        </w:numPr>
        <w:tabs>
          <w:tab w:val="left" w:pos="1150"/>
        </w:tabs>
        <w:spacing w:line="276" w:lineRule="auto"/>
        <w:jc w:val="both"/>
        <w:rPr>
          <w:b w:val="0"/>
          <w:bCs w:val="0"/>
          <w:sz w:val="24"/>
          <w:szCs w:val="24"/>
        </w:rPr>
      </w:pPr>
      <w:r w:rsidRPr="00E066A1">
        <w:rPr>
          <w:b w:val="0"/>
          <w:bCs w:val="0"/>
          <w:sz w:val="24"/>
          <w:szCs w:val="24"/>
        </w:rPr>
        <w:t>czynniki genetyczne i demograficzne: predyspozycja rodzinna, wiek (kobiety &gt;65 lat, mężczyźni &gt;70 lat), płeć żeńska, rasa biała i żółta (osteoporoza występuje 3 razy częściej niż u rasy czarnej),</w:t>
      </w:r>
    </w:p>
    <w:p w14:paraId="47CA1B0D" w14:textId="715B8F6F" w:rsidR="004A5E02" w:rsidRPr="00E066A1" w:rsidRDefault="004A5E02">
      <w:pPr>
        <w:pStyle w:val="Teksttreci40"/>
        <w:numPr>
          <w:ilvl w:val="0"/>
          <w:numId w:val="14"/>
        </w:numPr>
        <w:tabs>
          <w:tab w:val="left" w:pos="1150"/>
        </w:tabs>
        <w:spacing w:line="276" w:lineRule="auto"/>
        <w:jc w:val="both"/>
        <w:rPr>
          <w:b w:val="0"/>
          <w:bCs w:val="0"/>
          <w:sz w:val="24"/>
          <w:szCs w:val="24"/>
        </w:rPr>
      </w:pPr>
      <w:r w:rsidRPr="00E066A1">
        <w:rPr>
          <w:b w:val="0"/>
          <w:bCs w:val="0"/>
          <w:sz w:val="24"/>
          <w:szCs w:val="24"/>
        </w:rPr>
        <w:t>BMI &lt;18 kg/m2,</w:t>
      </w:r>
    </w:p>
    <w:p w14:paraId="2F7CA48E" w14:textId="66D23918" w:rsidR="004A5E02" w:rsidRPr="00E066A1" w:rsidRDefault="004A5E02">
      <w:pPr>
        <w:pStyle w:val="Teksttreci40"/>
        <w:numPr>
          <w:ilvl w:val="0"/>
          <w:numId w:val="14"/>
        </w:numPr>
        <w:tabs>
          <w:tab w:val="left" w:pos="1150"/>
        </w:tabs>
        <w:spacing w:line="276" w:lineRule="auto"/>
        <w:jc w:val="both"/>
        <w:rPr>
          <w:b w:val="0"/>
          <w:bCs w:val="0"/>
          <w:sz w:val="24"/>
          <w:szCs w:val="24"/>
        </w:rPr>
      </w:pPr>
      <w:r w:rsidRPr="00E066A1">
        <w:rPr>
          <w:b w:val="0"/>
          <w:bCs w:val="0"/>
          <w:sz w:val="24"/>
          <w:szCs w:val="24"/>
        </w:rPr>
        <w:t>stan prokreacyjny: niedobór hormonów płciowych o różnej etiologii, przedłużony brak miesiączki - późne pokwitanie, brak przebytych porodów, stan pomenopauzalny (zwłaszcza przedwczesny, w tym po usunięciu jajników),</w:t>
      </w:r>
    </w:p>
    <w:p w14:paraId="5BC1A577" w14:textId="133A1A15" w:rsidR="004A5E02" w:rsidRPr="00E066A1" w:rsidRDefault="004A5E02">
      <w:pPr>
        <w:pStyle w:val="Teksttreci40"/>
        <w:numPr>
          <w:ilvl w:val="0"/>
          <w:numId w:val="14"/>
        </w:numPr>
        <w:tabs>
          <w:tab w:val="left" w:pos="1150"/>
        </w:tabs>
        <w:spacing w:line="276" w:lineRule="auto"/>
        <w:jc w:val="both"/>
        <w:rPr>
          <w:b w:val="0"/>
          <w:bCs w:val="0"/>
          <w:sz w:val="24"/>
          <w:szCs w:val="24"/>
        </w:rPr>
      </w:pPr>
      <w:r w:rsidRPr="00E066A1">
        <w:rPr>
          <w:b w:val="0"/>
          <w:bCs w:val="0"/>
          <w:sz w:val="24"/>
          <w:szCs w:val="24"/>
        </w:rPr>
        <w:t>czynniki związane z odżywianiem i stylem życia: mała podaż wapnia; niedobór witaminy D; mała lub nadmierna podaż fosforu; niedobory białkowe lub dieta bogatobiałkowa; palenie tytoniu; alkoholizm; nadmierne spożywanie kawy; siedzący tryb życia.</w:t>
      </w:r>
    </w:p>
    <w:p w14:paraId="2EF5A3D1" w14:textId="06193D69" w:rsidR="004A5E02" w:rsidRPr="00E066A1" w:rsidRDefault="00675644" w:rsidP="00E066A1">
      <w:pPr>
        <w:pStyle w:val="Teksttreci40"/>
        <w:tabs>
          <w:tab w:val="left" w:pos="1150"/>
        </w:tabs>
        <w:spacing w:line="276" w:lineRule="auto"/>
        <w:ind w:left="720"/>
        <w:jc w:val="both"/>
        <w:rPr>
          <w:b w:val="0"/>
          <w:bCs w:val="0"/>
          <w:sz w:val="24"/>
          <w:szCs w:val="24"/>
        </w:rPr>
      </w:pPr>
      <w:r w:rsidRPr="00E066A1">
        <w:rPr>
          <w:b w:val="0"/>
          <w:bCs w:val="0"/>
          <w:sz w:val="24"/>
          <w:szCs w:val="24"/>
        </w:rPr>
        <w:tab/>
      </w:r>
      <w:r w:rsidR="004A5E02" w:rsidRPr="00E066A1">
        <w:rPr>
          <w:b w:val="0"/>
          <w:bCs w:val="0"/>
          <w:sz w:val="24"/>
          <w:szCs w:val="24"/>
        </w:rPr>
        <w:t>Osteoporoza wtórna może być wynikiem:</w:t>
      </w:r>
    </w:p>
    <w:p w14:paraId="209A5DBF" w14:textId="4657B1B8" w:rsidR="004A5E02" w:rsidRPr="00E066A1" w:rsidRDefault="004A5E02">
      <w:pPr>
        <w:pStyle w:val="Teksttreci40"/>
        <w:numPr>
          <w:ilvl w:val="0"/>
          <w:numId w:val="15"/>
        </w:numPr>
        <w:tabs>
          <w:tab w:val="left" w:pos="1150"/>
        </w:tabs>
        <w:spacing w:line="276" w:lineRule="auto"/>
        <w:jc w:val="both"/>
        <w:rPr>
          <w:b w:val="0"/>
          <w:bCs w:val="0"/>
          <w:sz w:val="24"/>
          <w:szCs w:val="24"/>
        </w:rPr>
      </w:pPr>
      <w:r w:rsidRPr="00E066A1">
        <w:rPr>
          <w:b w:val="0"/>
          <w:bCs w:val="0"/>
          <w:sz w:val="24"/>
          <w:szCs w:val="24"/>
        </w:rPr>
        <w:t>występowania chorób, w tym: zaburzeń hormonalnych, chorób układu pokarmowego, chorób nerek, chorób reumatycznych, chorób układu oddechowego, chorób szpiku i krwi, hiperwitaminozy A, a także stan po przeszczepieniu narządu,</w:t>
      </w:r>
    </w:p>
    <w:p w14:paraId="148BA30A" w14:textId="2B4F524C" w:rsidR="004A5E02" w:rsidRPr="00E066A1" w:rsidRDefault="004A5E02">
      <w:pPr>
        <w:pStyle w:val="Teksttreci40"/>
        <w:numPr>
          <w:ilvl w:val="0"/>
          <w:numId w:val="15"/>
        </w:numPr>
        <w:tabs>
          <w:tab w:val="left" w:pos="1150"/>
        </w:tabs>
        <w:spacing w:line="276" w:lineRule="auto"/>
        <w:jc w:val="both"/>
        <w:rPr>
          <w:b w:val="0"/>
          <w:bCs w:val="0"/>
          <w:sz w:val="24"/>
          <w:szCs w:val="24"/>
        </w:rPr>
      </w:pPr>
      <w:r w:rsidRPr="00E066A1">
        <w:rPr>
          <w:b w:val="0"/>
          <w:bCs w:val="0"/>
          <w:sz w:val="24"/>
          <w:szCs w:val="24"/>
        </w:rPr>
        <w:t>przyjmowanie glikokortykosteroidów, hormonów tarczycy w dużych dawkach, leków</w:t>
      </w:r>
      <w:r w:rsidR="00675644" w:rsidRPr="00E066A1">
        <w:rPr>
          <w:b w:val="0"/>
          <w:bCs w:val="0"/>
          <w:sz w:val="24"/>
          <w:szCs w:val="24"/>
        </w:rPr>
        <w:t xml:space="preserve"> </w:t>
      </w:r>
      <w:r w:rsidRPr="00E066A1">
        <w:rPr>
          <w:b w:val="0"/>
          <w:bCs w:val="0"/>
          <w:sz w:val="24"/>
          <w:szCs w:val="24"/>
        </w:rPr>
        <w:t>przeciwpadaczkowych</w:t>
      </w:r>
      <w:r w:rsidRPr="00E066A1">
        <w:rPr>
          <w:b w:val="0"/>
          <w:bCs w:val="0"/>
          <w:sz w:val="24"/>
          <w:szCs w:val="24"/>
        </w:rPr>
        <w:tab/>
        <w:t>(fenobarbital, fenytoina,</w:t>
      </w:r>
      <w:r w:rsidR="00675644" w:rsidRPr="00E066A1">
        <w:rPr>
          <w:b w:val="0"/>
          <w:bCs w:val="0"/>
          <w:sz w:val="24"/>
          <w:szCs w:val="24"/>
        </w:rPr>
        <w:t xml:space="preserve"> </w:t>
      </w:r>
      <w:r w:rsidRPr="00E066A1">
        <w:rPr>
          <w:b w:val="0"/>
          <w:bCs w:val="0"/>
          <w:sz w:val="24"/>
          <w:szCs w:val="24"/>
        </w:rPr>
        <w:t>karbamazepina),</w:t>
      </w:r>
      <w:r w:rsidR="00675644" w:rsidRPr="00E066A1">
        <w:rPr>
          <w:b w:val="0"/>
          <w:bCs w:val="0"/>
          <w:sz w:val="24"/>
          <w:szCs w:val="24"/>
        </w:rPr>
        <w:t xml:space="preserve"> </w:t>
      </w:r>
      <w:r w:rsidRPr="00E066A1">
        <w:rPr>
          <w:b w:val="0"/>
          <w:bCs w:val="0"/>
          <w:sz w:val="24"/>
          <w:szCs w:val="24"/>
        </w:rPr>
        <w:t>heparyny (zwłaszcza</w:t>
      </w:r>
      <w:r w:rsidR="00675644" w:rsidRPr="00E066A1">
        <w:rPr>
          <w:b w:val="0"/>
          <w:bCs w:val="0"/>
          <w:sz w:val="24"/>
          <w:szCs w:val="24"/>
        </w:rPr>
        <w:t xml:space="preserve"> </w:t>
      </w:r>
      <w:r w:rsidRPr="00E066A1">
        <w:rPr>
          <w:b w:val="0"/>
          <w:bCs w:val="0"/>
          <w:sz w:val="24"/>
          <w:szCs w:val="24"/>
        </w:rPr>
        <w:t>niefrakcjonowana), antagonistów witaminy K,</w:t>
      </w:r>
      <w:r w:rsidR="00675644" w:rsidRPr="00E066A1">
        <w:rPr>
          <w:b w:val="0"/>
          <w:bCs w:val="0"/>
          <w:sz w:val="24"/>
          <w:szCs w:val="24"/>
        </w:rPr>
        <w:t xml:space="preserve"> </w:t>
      </w:r>
      <w:r w:rsidRPr="00E066A1">
        <w:rPr>
          <w:b w:val="0"/>
          <w:bCs w:val="0"/>
          <w:sz w:val="24"/>
          <w:szCs w:val="24"/>
        </w:rPr>
        <w:t>cyklosporyny, leków immunosupresyjnych w dużych dawkach i innych antymetabolitów,</w:t>
      </w:r>
      <w:r w:rsidRPr="00E066A1">
        <w:rPr>
          <w:b w:val="0"/>
          <w:bCs w:val="0"/>
          <w:sz w:val="24"/>
          <w:szCs w:val="24"/>
        </w:rPr>
        <w:tab/>
        <w:t>żywic wiążących</w:t>
      </w:r>
      <w:r w:rsidR="00675644" w:rsidRPr="00E066A1">
        <w:rPr>
          <w:b w:val="0"/>
          <w:bCs w:val="0"/>
          <w:sz w:val="24"/>
          <w:szCs w:val="24"/>
        </w:rPr>
        <w:t xml:space="preserve"> </w:t>
      </w:r>
      <w:r w:rsidRPr="00E066A1">
        <w:rPr>
          <w:b w:val="0"/>
          <w:bCs w:val="0"/>
          <w:sz w:val="24"/>
          <w:szCs w:val="24"/>
        </w:rPr>
        <w:t>kwasy żółciowe (np.</w:t>
      </w:r>
      <w:r w:rsidR="00675644" w:rsidRPr="00E066A1">
        <w:rPr>
          <w:b w:val="0"/>
          <w:bCs w:val="0"/>
          <w:sz w:val="24"/>
          <w:szCs w:val="24"/>
        </w:rPr>
        <w:t xml:space="preserve"> </w:t>
      </w:r>
      <w:r w:rsidRPr="00E066A1">
        <w:rPr>
          <w:b w:val="0"/>
          <w:bCs w:val="0"/>
          <w:sz w:val="24"/>
          <w:szCs w:val="24"/>
        </w:rPr>
        <w:t>cholestyramina),</w:t>
      </w:r>
      <w:r w:rsidRPr="00E066A1">
        <w:rPr>
          <w:b w:val="0"/>
          <w:bCs w:val="0"/>
          <w:sz w:val="24"/>
          <w:szCs w:val="24"/>
        </w:rPr>
        <w:tab/>
        <w:t>analogów gonadoliberyny,</w:t>
      </w:r>
      <w:r w:rsidR="00675644" w:rsidRPr="00E066A1">
        <w:rPr>
          <w:b w:val="0"/>
          <w:bCs w:val="0"/>
          <w:sz w:val="24"/>
          <w:szCs w:val="24"/>
        </w:rPr>
        <w:t xml:space="preserve"> </w:t>
      </w:r>
      <w:r w:rsidRPr="00E066A1">
        <w:rPr>
          <w:b w:val="0"/>
          <w:bCs w:val="0"/>
          <w:sz w:val="24"/>
          <w:szCs w:val="24"/>
        </w:rPr>
        <w:t>pochodnych tiazolidynodionu (pioglitazon),</w:t>
      </w:r>
      <w:r w:rsidR="00675644" w:rsidRPr="00E066A1">
        <w:rPr>
          <w:b w:val="0"/>
          <w:bCs w:val="0"/>
          <w:sz w:val="24"/>
          <w:szCs w:val="24"/>
        </w:rPr>
        <w:t xml:space="preserve"> </w:t>
      </w:r>
      <w:r w:rsidRPr="00E066A1">
        <w:rPr>
          <w:b w:val="0"/>
          <w:bCs w:val="0"/>
          <w:sz w:val="24"/>
          <w:szCs w:val="24"/>
        </w:rPr>
        <w:t>tamoksyfenu (u</w:t>
      </w:r>
      <w:r w:rsidR="00675644" w:rsidRPr="00E066A1">
        <w:rPr>
          <w:b w:val="0"/>
          <w:bCs w:val="0"/>
          <w:sz w:val="24"/>
          <w:szCs w:val="24"/>
        </w:rPr>
        <w:t xml:space="preserve"> </w:t>
      </w:r>
      <w:r w:rsidRPr="00E066A1">
        <w:rPr>
          <w:b w:val="0"/>
          <w:bCs w:val="0"/>
          <w:sz w:val="24"/>
          <w:szCs w:val="24"/>
        </w:rPr>
        <w:t>kobiet przed menopauzą), inhibitorów aromatazy, inhibitorów</w:t>
      </w:r>
      <w:r w:rsidR="00675644" w:rsidRPr="00E066A1">
        <w:rPr>
          <w:b w:val="0"/>
          <w:bCs w:val="0"/>
          <w:sz w:val="24"/>
          <w:szCs w:val="24"/>
        </w:rPr>
        <w:t xml:space="preserve"> </w:t>
      </w:r>
      <w:r w:rsidRPr="00E066A1">
        <w:rPr>
          <w:b w:val="0"/>
          <w:bCs w:val="0"/>
          <w:sz w:val="24"/>
          <w:szCs w:val="24"/>
        </w:rPr>
        <w:t>pompy</w:t>
      </w:r>
      <w:r w:rsidR="00675644" w:rsidRPr="00E066A1">
        <w:rPr>
          <w:b w:val="0"/>
          <w:bCs w:val="0"/>
          <w:sz w:val="24"/>
          <w:szCs w:val="24"/>
        </w:rPr>
        <w:t xml:space="preserve"> </w:t>
      </w:r>
      <w:r w:rsidRPr="00E066A1">
        <w:rPr>
          <w:b w:val="0"/>
          <w:bCs w:val="0"/>
          <w:sz w:val="24"/>
          <w:szCs w:val="24"/>
        </w:rPr>
        <w:t>protonowej, leków przeciwretrowirusowe,</w:t>
      </w:r>
    </w:p>
    <w:p w14:paraId="4BFA81A3" w14:textId="354CD9EA" w:rsidR="004A5E02" w:rsidRDefault="004A5E02">
      <w:pPr>
        <w:pStyle w:val="Teksttreci40"/>
        <w:numPr>
          <w:ilvl w:val="0"/>
          <w:numId w:val="15"/>
        </w:numPr>
        <w:tabs>
          <w:tab w:val="left" w:pos="1150"/>
        </w:tabs>
        <w:spacing w:line="276" w:lineRule="auto"/>
        <w:jc w:val="both"/>
        <w:rPr>
          <w:b w:val="0"/>
          <w:bCs w:val="0"/>
          <w:sz w:val="24"/>
          <w:szCs w:val="24"/>
        </w:rPr>
      </w:pPr>
      <w:r w:rsidRPr="00E066A1">
        <w:rPr>
          <w:b w:val="0"/>
          <w:bCs w:val="0"/>
          <w:sz w:val="24"/>
          <w:szCs w:val="24"/>
        </w:rPr>
        <w:t>unieruchomienie, przebyte złamania, sarkopenia (Szczeklik 2017).</w:t>
      </w:r>
    </w:p>
    <w:p w14:paraId="6050A938" w14:textId="77777777" w:rsidR="00486624" w:rsidRPr="00E066A1" w:rsidRDefault="00486624" w:rsidP="00486624">
      <w:pPr>
        <w:pStyle w:val="Teksttreci40"/>
        <w:tabs>
          <w:tab w:val="left" w:pos="1150"/>
        </w:tabs>
        <w:spacing w:line="276" w:lineRule="auto"/>
        <w:ind w:left="1440" w:firstLine="0"/>
        <w:jc w:val="both"/>
        <w:rPr>
          <w:b w:val="0"/>
          <w:bCs w:val="0"/>
          <w:sz w:val="24"/>
          <w:szCs w:val="24"/>
        </w:rPr>
      </w:pPr>
    </w:p>
    <w:p w14:paraId="644C1D3C" w14:textId="1178A090" w:rsidR="004A5E02" w:rsidRDefault="00675644" w:rsidP="00E066A1">
      <w:pPr>
        <w:pStyle w:val="Teksttreci40"/>
        <w:tabs>
          <w:tab w:val="left" w:pos="1150"/>
        </w:tabs>
        <w:spacing w:line="276" w:lineRule="auto"/>
        <w:ind w:left="720"/>
        <w:jc w:val="both"/>
        <w:rPr>
          <w:b w:val="0"/>
          <w:bCs w:val="0"/>
          <w:sz w:val="24"/>
          <w:szCs w:val="24"/>
        </w:rPr>
      </w:pPr>
      <w:r w:rsidRPr="00E066A1">
        <w:rPr>
          <w:b w:val="0"/>
          <w:bCs w:val="0"/>
          <w:sz w:val="24"/>
          <w:szCs w:val="24"/>
        </w:rPr>
        <w:tab/>
      </w:r>
      <w:r w:rsidR="004A5E02" w:rsidRPr="00E066A1">
        <w:rPr>
          <w:b w:val="0"/>
          <w:bCs w:val="0"/>
          <w:sz w:val="24"/>
          <w:szCs w:val="24"/>
        </w:rPr>
        <w:t xml:space="preserve">Osteoporozę jako jednostkę chorobową można rozpoznać po stwierdzeniu zmniejszonej gęstości mineralnej kości (BMD, ang. bone mineraldensity) - wskaźnik T (ang. T-score) o wartości &lt;-2,5 u kobiet po menopauzie oraz mężczyzn w wieku &gt;50 lat. U osób młodszych muszą występować dodatkowe czynniki ryzyka i zwykle jest to osteoporoza wtórna. W diagnostyce osteoporozy wskazana jest ocena bezwzględnego dziesięcioletniego ryzyka </w:t>
      </w:r>
      <w:r w:rsidR="004A5E02" w:rsidRPr="00E066A1">
        <w:rPr>
          <w:b w:val="0"/>
          <w:bCs w:val="0"/>
          <w:sz w:val="24"/>
          <w:szCs w:val="24"/>
        </w:rPr>
        <w:lastRenderedPageBreak/>
        <w:t>złamania na podstawie występowania u pacjenta czynników ryzyka złamań (Szczeklik 2017).</w:t>
      </w:r>
    </w:p>
    <w:p w14:paraId="5BB47845" w14:textId="77777777" w:rsidR="00486624" w:rsidRPr="00E066A1" w:rsidRDefault="00486624" w:rsidP="00E066A1">
      <w:pPr>
        <w:pStyle w:val="Teksttreci40"/>
        <w:tabs>
          <w:tab w:val="left" w:pos="1150"/>
        </w:tabs>
        <w:spacing w:line="276" w:lineRule="auto"/>
        <w:ind w:left="720"/>
        <w:jc w:val="both"/>
        <w:rPr>
          <w:b w:val="0"/>
          <w:bCs w:val="0"/>
          <w:sz w:val="24"/>
          <w:szCs w:val="24"/>
        </w:rPr>
      </w:pPr>
    </w:p>
    <w:p w14:paraId="570A6A86" w14:textId="3576E59B" w:rsidR="004A5E02" w:rsidRDefault="00675644" w:rsidP="00E066A1">
      <w:pPr>
        <w:pStyle w:val="Teksttreci40"/>
        <w:tabs>
          <w:tab w:val="left" w:pos="1150"/>
        </w:tabs>
        <w:spacing w:line="276" w:lineRule="auto"/>
        <w:ind w:left="720"/>
        <w:jc w:val="both"/>
        <w:rPr>
          <w:b w:val="0"/>
          <w:bCs w:val="0"/>
          <w:sz w:val="24"/>
          <w:szCs w:val="24"/>
        </w:rPr>
      </w:pPr>
      <w:r w:rsidRPr="00E066A1">
        <w:rPr>
          <w:b w:val="0"/>
          <w:bCs w:val="0"/>
          <w:sz w:val="24"/>
          <w:szCs w:val="24"/>
        </w:rPr>
        <w:tab/>
      </w:r>
      <w:r w:rsidR="004A5E02" w:rsidRPr="00E066A1">
        <w:rPr>
          <w:b w:val="0"/>
          <w:bCs w:val="0"/>
          <w:sz w:val="24"/>
          <w:szCs w:val="24"/>
        </w:rPr>
        <w:t>Ryzyko złamań w poszczególnych krajach i grupach etnicznych może się znacznie różnić. Szacuje się, że w wysoko rozwiniętych krajach europejskich ok. 40% kobiet 50-letnich do końca życia doznaje &gt;1 złamania związanego z osteoporozą; najczęściej złamania kręgu, bliższego końca kości udowej lub kości przedramienia. Ryzyko złamań u mężczyzn jest mniejsze (13-30% do końca życia u mężczyzn 50-letnich) (Szczeklik 2017).</w:t>
      </w:r>
    </w:p>
    <w:p w14:paraId="2D532C6C" w14:textId="77777777" w:rsidR="00486624" w:rsidRPr="00E066A1" w:rsidRDefault="00486624" w:rsidP="00E066A1">
      <w:pPr>
        <w:pStyle w:val="Teksttreci40"/>
        <w:tabs>
          <w:tab w:val="left" w:pos="1150"/>
        </w:tabs>
        <w:spacing w:line="276" w:lineRule="auto"/>
        <w:ind w:left="720"/>
        <w:jc w:val="both"/>
        <w:rPr>
          <w:b w:val="0"/>
          <w:bCs w:val="0"/>
          <w:sz w:val="24"/>
          <w:szCs w:val="24"/>
        </w:rPr>
      </w:pPr>
    </w:p>
    <w:p w14:paraId="45A58DD1" w14:textId="6ADBFF27" w:rsidR="004A5E02" w:rsidRDefault="00675644" w:rsidP="00E066A1">
      <w:pPr>
        <w:pStyle w:val="Teksttreci40"/>
        <w:tabs>
          <w:tab w:val="left" w:pos="1150"/>
        </w:tabs>
        <w:spacing w:line="276" w:lineRule="auto"/>
        <w:ind w:left="720"/>
        <w:jc w:val="both"/>
        <w:rPr>
          <w:b w:val="0"/>
          <w:bCs w:val="0"/>
          <w:sz w:val="24"/>
          <w:szCs w:val="24"/>
        </w:rPr>
      </w:pPr>
      <w:r w:rsidRPr="00E066A1">
        <w:rPr>
          <w:b w:val="0"/>
          <w:bCs w:val="0"/>
          <w:sz w:val="24"/>
          <w:szCs w:val="24"/>
        </w:rPr>
        <w:tab/>
      </w:r>
      <w:r w:rsidR="004A5E02" w:rsidRPr="00E066A1">
        <w:rPr>
          <w:b w:val="0"/>
          <w:bCs w:val="0"/>
          <w:sz w:val="24"/>
          <w:szCs w:val="24"/>
        </w:rPr>
        <w:t>W oparciu o kryteria diagnostyczne WHO (wskaźnik T-score &lt;-2,5), szacuje się, że ok. 22 mln kobiet i 5,5 mln mężczyzn w wieku od 50 do 84 lat w UE cierpi na osteoporozę (dane za rok 2010). Z prognoz wynika, że w związku ze zmianami demograficznymi, do 2025 roku liczba ta wzrośnie o 23% sięgając 33,9 mln osób. W 2010 r. zaobserwowano ok. 3,5 mln nowych złamań wśród mieszkańców UE (z czego 2/3 u kobiet) (Hernlund 2013).</w:t>
      </w:r>
    </w:p>
    <w:p w14:paraId="14D865CB" w14:textId="77777777" w:rsidR="00486624" w:rsidRPr="00E066A1" w:rsidRDefault="00486624" w:rsidP="00E066A1">
      <w:pPr>
        <w:pStyle w:val="Teksttreci40"/>
        <w:tabs>
          <w:tab w:val="left" w:pos="1150"/>
        </w:tabs>
        <w:spacing w:line="276" w:lineRule="auto"/>
        <w:ind w:left="720"/>
        <w:jc w:val="both"/>
        <w:rPr>
          <w:b w:val="0"/>
          <w:bCs w:val="0"/>
          <w:sz w:val="24"/>
          <w:szCs w:val="24"/>
        </w:rPr>
      </w:pPr>
    </w:p>
    <w:p w14:paraId="2292D18D" w14:textId="506E4630" w:rsidR="004A5E02" w:rsidRDefault="00675644" w:rsidP="00486624">
      <w:pPr>
        <w:pStyle w:val="Teksttreci40"/>
        <w:tabs>
          <w:tab w:val="left" w:pos="1150"/>
        </w:tabs>
        <w:spacing w:line="276" w:lineRule="auto"/>
        <w:ind w:left="720"/>
        <w:jc w:val="both"/>
        <w:rPr>
          <w:b w:val="0"/>
          <w:bCs w:val="0"/>
          <w:sz w:val="24"/>
          <w:szCs w:val="24"/>
        </w:rPr>
      </w:pPr>
      <w:r w:rsidRPr="00E066A1">
        <w:rPr>
          <w:b w:val="0"/>
          <w:bCs w:val="0"/>
          <w:sz w:val="24"/>
          <w:szCs w:val="24"/>
        </w:rPr>
        <w:tab/>
      </w:r>
      <w:r w:rsidR="004A5E02" w:rsidRPr="00E066A1">
        <w:rPr>
          <w:b w:val="0"/>
          <w:bCs w:val="0"/>
          <w:sz w:val="24"/>
          <w:szCs w:val="24"/>
        </w:rPr>
        <w:t>W mapach potrzeb zdrowotnych (MPZ) w zakresie chorób układu kostno-mięśniowego nie wyodrębniono danych dla samej osteoporozy, jednak została ona uwzględniona w ramach zaburzeń mineralizacji i struktury kości, w których zawarto następujące rozpoznania wg ICD-10:</w:t>
      </w:r>
      <w:r w:rsidR="004A5E02" w:rsidRPr="00E066A1">
        <w:rPr>
          <w:b w:val="0"/>
          <w:bCs w:val="0"/>
          <w:sz w:val="24"/>
          <w:szCs w:val="24"/>
        </w:rPr>
        <w:tab/>
        <w:t>M80 -</w:t>
      </w:r>
      <w:r w:rsidR="00486624">
        <w:rPr>
          <w:b w:val="0"/>
          <w:bCs w:val="0"/>
          <w:sz w:val="24"/>
          <w:szCs w:val="24"/>
        </w:rPr>
        <w:t xml:space="preserve"> </w:t>
      </w:r>
      <w:r w:rsidR="004A5E02" w:rsidRPr="00E066A1">
        <w:rPr>
          <w:b w:val="0"/>
          <w:bCs w:val="0"/>
          <w:sz w:val="24"/>
          <w:szCs w:val="24"/>
        </w:rPr>
        <w:t>Osteoporoza ze złamaniem patologicznym; M81 - Osteoporoza bez patologicznego złamania; M82 - Osteoporoza w przebiegu innych chorób sklasyfikowanych gdzie indziej; M83 - Zmiękczenie kości (osteomalacja dorosłych); M84 - Zaburzenia ciągłości kości; M85 - Inne zaburzenia mineralizacji i struktury kości.</w:t>
      </w:r>
    </w:p>
    <w:p w14:paraId="31878245" w14:textId="77777777" w:rsidR="00486624" w:rsidRPr="00E066A1" w:rsidRDefault="00486624" w:rsidP="00486624">
      <w:pPr>
        <w:pStyle w:val="Teksttreci40"/>
        <w:tabs>
          <w:tab w:val="left" w:pos="1150"/>
        </w:tabs>
        <w:spacing w:line="276" w:lineRule="auto"/>
        <w:ind w:left="720"/>
        <w:jc w:val="both"/>
        <w:rPr>
          <w:b w:val="0"/>
          <w:bCs w:val="0"/>
          <w:sz w:val="24"/>
          <w:szCs w:val="24"/>
        </w:rPr>
      </w:pPr>
    </w:p>
    <w:p w14:paraId="757DD57A" w14:textId="369D5AF2" w:rsidR="004A5E02" w:rsidRDefault="00675644" w:rsidP="00E066A1">
      <w:pPr>
        <w:pStyle w:val="Teksttreci40"/>
        <w:tabs>
          <w:tab w:val="left" w:pos="1150"/>
        </w:tabs>
        <w:spacing w:line="276" w:lineRule="auto"/>
        <w:ind w:left="720"/>
        <w:jc w:val="both"/>
        <w:rPr>
          <w:b w:val="0"/>
          <w:bCs w:val="0"/>
          <w:sz w:val="24"/>
          <w:szCs w:val="24"/>
        </w:rPr>
      </w:pPr>
      <w:r w:rsidRPr="00E066A1">
        <w:rPr>
          <w:b w:val="0"/>
          <w:bCs w:val="0"/>
          <w:sz w:val="24"/>
          <w:szCs w:val="24"/>
        </w:rPr>
        <w:tab/>
      </w:r>
      <w:r w:rsidR="004A5E02" w:rsidRPr="00E066A1">
        <w:rPr>
          <w:b w:val="0"/>
          <w:bCs w:val="0"/>
          <w:sz w:val="24"/>
          <w:szCs w:val="24"/>
        </w:rPr>
        <w:t>Zapadalność rejestrowana dla rozpoznań z grupy zaburzenia mineralizacji i struktury kości w roku 2014 wyniosła 72,2 tysięcy przypadków w Polsce. Natomiast współczynnik zapadalności rejestrowanej na 100 tysięcy ludności wyniósł 190,1. Liczbę chorych w analizowanej podgrupie w Polsce oszacowano na 594,4 tysięcy (w przeliczeniu na 100 tys. mieszkańców było to 1 564,2) (MPZ 2017).</w:t>
      </w:r>
    </w:p>
    <w:p w14:paraId="4DB6D380" w14:textId="77777777" w:rsidR="00486624" w:rsidRPr="00E066A1" w:rsidRDefault="00486624" w:rsidP="00E066A1">
      <w:pPr>
        <w:pStyle w:val="Teksttreci40"/>
        <w:tabs>
          <w:tab w:val="left" w:pos="1150"/>
        </w:tabs>
        <w:spacing w:line="276" w:lineRule="auto"/>
        <w:ind w:left="720"/>
        <w:jc w:val="both"/>
        <w:rPr>
          <w:b w:val="0"/>
          <w:bCs w:val="0"/>
          <w:sz w:val="24"/>
          <w:szCs w:val="24"/>
        </w:rPr>
      </w:pPr>
    </w:p>
    <w:p w14:paraId="155C322B" w14:textId="1A08BC96" w:rsidR="004A5E02" w:rsidRDefault="004A5E02" w:rsidP="00E066A1">
      <w:pPr>
        <w:pStyle w:val="Teksttreci40"/>
        <w:shd w:val="clear" w:color="auto" w:fill="auto"/>
        <w:tabs>
          <w:tab w:val="left" w:pos="1150"/>
        </w:tabs>
        <w:spacing w:line="276" w:lineRule="auto"/>
        <w:ind w:left="720" w:firstLine="0"/>
        <w:jc w:val="both"/>
        <w:rPr>
          <w:b w:val="0"/>
          <w:bCs w:val="0"/>
          <w:sz w:val="24"/>
          <w:szCs w:val="24"/>
        </w:rPr>
      </w:pPr>
      <w:r w:rsidRPr="00E066A1">
        <w:rPr>
          <w:b w:val="0"/>
          <w:bCs w:val="0"/>
          <w:sz w:val="24"/>
          <w:szCs w:val="24"/>
        </w:rPr>
        <w:t>Zgodnie z badaniami WHO oraz SCOPE w krajach Unii Europejskiej w populacji w wieku powyżej 50 lat osteoporoza występuje u 22,1% kobiet oraz 6,6% mężczyzn (MPZ 2018, Kanis 2013). Biorąc pod uwagę obserwowaną w 2016 liczbę chorych - ok. 606 tys. (osoby w wieku powyżej 50. r.ż. z rozpoznaniem M.80 lub M.81), teoretyczną liczbę chorych - ok. 2 158 tys. (estymowaną jako wskazany przez WHO procent populacji powyżej 50. r.ż.), stopień wykrywalności osteoporozy definiowany jako stosunek liczby zachorowań zarejestrowanych do teoretycznych wynosi 28,1%.</w:t>
      </w:r>
    </w:p>
    <w:p w14:paraId="5C378295" w14:textId="1F0AB154" w:rsidR="00486624" w:rsidRDefault="00486624" w:rsidP="00E066A1">
      <w:pPr>
        <w:pStyle w:val="Teksttreci40"/>
        <w:shd w:val="clear" w:color="auto" w:fill="auto"/>
        <w:tabs>
          <w:tab w:val="left" w:pos="1150"/>
        </w:tabs>
        <w:spacing w:line="276" w:lineRule="auto"/>
        <w:ind w:left="720" w:firstLine="0"/>
        <w:jc w:val="both"/>
        <w:rPr>
          <w:b w:val="0"/>
          <w:bCs w:val="0"/>
          <w:sz w:val="24"/>
          <w:szCs w:val="24"/>
        </w:rPr>
      </w:pPr>
    </w:p>
    <w:p w14:paraId="1C1C6C52" w14:textId="6DBDC0AF" w:rsidR="00BA6588" w:rsidRPr="00BA6588" w:rsidRDefault="00D561DF" w:rsidP="0010511D">
      <w:pPr>
        <w:pStyle w:val="Teksttreci40"/>
        <w:tabs>
          <w:tab w:val="left" w:pos="1150"/>
        </w:tabs>
        <w:spacing w:line="276" w:lineRule="auto"/>
        <w:ind w:left="708" w:hanging="406"/>
        <w:jc w:val="both"/>
        <w:rPr>
          <w:b w:val="0"/>
          <w:bCs w:val="0"/>
          <w:sz w:val="24"/>
          <w:szCs w:val="24"/>
        </w:rPr>
      </w:pPr>
      <w:r>
        <w:rPr>
          <w:b w:val="0"/>
          <w:bCs w:val="0"/>
          <w:sz w:val="24"/>
          <w:szCs w:val="24"/>
        </w:rPr>
        <w:tab/>
        <w:t xml:space="preserve">Niniejszy program został oparty na </w:t>
      </w:r>
      <w:r w:rsidRPr="00D561DF">
        <w:rPr>
          <w:b w:val="0"/>
          <w:bCs w:val="0"/>
          <w:sz w:val="24"/>
          <w:szCs w:val="24"/>
        </w:rPr>
        <w:t>Rekomendacj</w:t>
      </w:r>
      <w:r>
        <w:rPr>
          <w:b w:val="0"/>
          <w:bCs w:val="0"/>
          <w:sz w:val="24"/>
          <w:szCs w:val="24"/>
        </w:rPr>
        <w:t>i</w:t>
      </w:r>
      <w:r w:rsidRPr="00D561DF">
        <w:rPr>
          <w:b w:val="0"/>
          <w:bCs w:val="0"/>
          <w:sz w:val="24"/>
          <w:szCs w:val="24"/>
        </w:rPr>
        <w:t xml:space="preserve"> nr 9/2020</w:t>
      </w:r>
      <w:r>
        <w:rPr>
          <w:b w:val="0"/>
          <w:bCs w:val="0"/>
          <w:sz w:val="24"/>
          <w:szCs w:val="24"/>
        </w:rPr>
        <w:t xml:space="preserve"> </w:t>
      </w:r>
      <w:r w:rsidRPr="00D561DF">
        <w:rPr>
          <w:b w:val="0"/>
          <w:bCs w:val="0"/>
          <w:sz w:val="24"/>
          <w:szCs w:val="24"/>
        </w:rPr>
        <w:t>z dnia 30 listopada 2020</w:t>
      </w:r>
      <w:r>
        <w:rPr>
          <w:b w:val="0"/>
          <w:bCs w:val="0"/>
          <w:sz w:val="24"/>
          <w:szCs w:val="24"/>
        </w:rPr>
        <w:t xml:space="preserve"> </w:t>
      </w:r>
      <w:r w:rsidRPr="00D561DF">
        <w:rPr>
          <w:b w:val="0"/>
          <w:bCs w:val="0"/>
          <w:sz w:val="24"/>
          <w:szCs w:val="24"/>
        </w:rPr>
        <w:t>Prezes</w:t>
      </w:r>
      <w:r>
        <w:rPr>
          <w:b w:val="0"/>
          <w:bCs w:val="0"/>
          <w:sz w:val="24"/>
          <w:szCs w:val="24"/>
        </w:rPr>
        <w:t xml:space="preserve"> </w:t>
      </w:r>
      <w:r w:rsidRPr="00D561DF">
        <w:rPr>
          <w:b w:val="0"/>
          <w:bCs w:val="0"/>
          <w:sz w:val="24"/>
          <w:szCs w:val="24"/>
        </w:rPr>
        <w:t>Agencji</w:t>
      </w:r>
      <w:r>
        <w:rPr>
          <w:b w:val="0"/>
          <w:bCs w:val="0"/>
          <w:sz w:val="24"/>
          <w:szCs w:val="24"/>
        </w:rPr>
        <w:t xml:space="preserve"> </w:t>
      </w:r>
      <w:r w:rsidRPr="00D561DF">
        <w:rPr>
          <w:b w:val="0"/>
          <w:bCs w:val="0"/>
          <w:sz w:val="24"/>
          <w:szCs w:val="24"/>
        </w:rPr>
        <w:t>Oceny Technologii Medycznych i Taryfikacji</w:t>
      </w:r>
      <w:r>
        <w:rPr>
          <w:b w:val="0"/>
          <w:bCs w:val="0"/>
          <w:sz w:val="24"/>
          <w:szCs w:val="24"/>
        </w:rPr>
        <w:t xml:space="preserve"> </w:t>
      </w:r>
      <w:r w:rsidRPr="00D561DF">
        <w:rPr>
          <w:b w:val="0"/>
          <w:bCs w:val="0"/>
          <w:sz w:val="24"/>
          <w:szCs w:val="24"/>
        </w:rPr>
        <w:t>w sprawie zalecanych technologii medycznych, działań</w:t>
      </w:r>
      <w:r>
        <w:rPr>
          <w:b w:val="0"/>
          <w:bCs w:val="0"/>
          <w:sz w:val="24"/>
          <w:szCs w:val="24"/>
        </w:rPr>
        <w:t xml:space="preserve"> </w:t>
      </w:r>
      <w:r w:rsidRPr="00D561DF">
        <w:rPr>
          <w:b w:val="0"/>
          <w:bCs w:val="0"/>
          <w:sz w:val="24"/>
          <w:szCs w:val="24"/>
        </w:rPr>
        <w:t>przeprowadzanych w ramach programów polityki zdrowotnej</w:t>
      </w:r>
      <w:r>
        <w:rPr>
          <w:b w:val="0"/>
          <w:bCs w:val="0"/>
          <w:sz w:val="24"/>
          <w:szCs w:val="24"/>
        </w:rPr>
        <w:t xml:space="preserve"> </w:t>
      </w:r>
      <w:r w:rsidRPr="00D561DF">
        <w:rPr>
          <w:b w:val="0"/>
          <w:bCs w:val="0"/>
          <w:sz w:val="24"/>
          <w:szCs w:val="24"/>
        </w:rPr>
        <w:t>oraz warunków realizacji tych programów, dotyczących wykrywania</w:t>
      </w:r>
      <w:r>
        <w:rPr>
          <w:b w:val="0"/>
          <w:bCs w:val="0"/>
          <w:sz w:val="24"/>
          <w:szCs w:val="24"/>
        </w:rPr>
        <w:t xml:space="preserve"> </w:t>
      </w:r>
      <w:r w:rsidRPr="00D561DF">
        <w:rPr>
          <w:b w:val="0"/>
          <w:bCs w:val="0"/>
          <w:sz w:val="24"/>
          <w:szCs w:val="24"/>
        </w:rPr>
        <w:t>osteoporozy</w:t>
      </w:r>
      <w:r>
        <w:rPr>
          <w:b w:val="0"/>
          <w:bCs w:val="0"/>
          <w:sz w:val="24"/>
          <w:szCs w:val="24"/>
        </w:rPr>
        <w:t>, gdyż rekomendacje te w sposób przejrzysty odzwierciedla tematykę postepowania nakierowaną na profilaktykę osteoporozy</w:t>
      </w:r>
      <w:r w:rsidR="00BA6588">
        <w:rPr>
          <w:b w:val="0"/>
          <w:bCs w:val="0"/>
          <w:sz w:val="24"/>
          <w:szCs w:val="24"/>
        </w:rPr>
        <w:t xml:space="preserve">. Wskazane w Rekomendacjach </w:t>
      </w:r>
      <w:r w:rsidR="00BA6588" w:rsidRPr="00BA6588">
        <w:rPr>
          <w:b w:val="0"/>
          <w:bCs w:val="0"/>
          <w:sz w:val="24"/>
          <w:szCs w:val="24"/>
        </w:rPr>
        <w:t xml:space="preserve">dowody naukowe oraz opinie ekspertów klinicznych, rekomenduje przeprowadzanie w ramach programów polityki zdrowotnej działań dotyczących wykrywania osteoporozy z wykorzystaniem densytometrii </w:t>
      </w:r>
      <w:r w:rsidR="00BA6588" w:rsidRPr="00BA6588">
        <w:rPr>
          <w:b w:val="0"/>
          <w:bCs w:val="0"/>
          <w:sz w:val="24"/>
          <w:szCs w:val="24"/>
        </w:rPr>
        <w:lastRenderedPageBreak/>
        <w:t>oraz oceny dziesięcioletniego ryzyka złamań z wykorzystaniem narzędzia FRAX w populacji kobiet w wieku &gt;65 lat, kobiet w wieku 40-64 lat z co najmniej jednym dodatkowym czynnikiem ryzyka, mężczyzn &gt; 75 r.ż . (po objęciu całej populacji kobiet).</w:t>
      </w:r>
    </w:p>
    <w:p w14:paraId="7841B077" w14:textId="6CF5C2F4" w:rsidR="00D561DF" w:rsidRDefault="00BA6588" w:rsidP="0010511D">
      <w:pPr>
        <w:pStyle w:val="Teksttreci40"/>
        <w:tabs>
          <w:tab w:val="left" w:pos="709"/>
        </w:tabs>
        <w:spacing w:line="276" w:lineRule="auto"/>
        <w:ind w:left="709" w:hanging="575"/>
        <w:jc w:val="both"/>
        <w:rPr>
          <w:b w:val="0"/>
          <w:bCs w:val="0"/>
          <w:sz w:val="24"/>
          <w:szCs w:val="24"/>
        </w:rPr>
      </w:pPr>
      <w:r>
        <w:rPr>
          <w:b w:val="0"/>
          <w:bCs w:val="0"/>
          <w:sz w:val="24"/>
          <w:szCs w:val="24"/>
        </w:rPr>
        <w:tab/>
      </w:r>
      <w:r w:rsidRPr="00BA6588">
        <w:rPr>
          <w:b w:val="0"/>
          <w:bCs w:val="0"/>
          <w:sz w:val="24"/>
          <w:szCs w:val="24"/>
        </w:rPr>
        <w:t xml:space="preserve">Odnalezione w ramach </w:t>
      </w:r>
      <w:r>
        <w:rPr>
          <w:b w:val="0"/>
          <w:bCs w:val="0"/>
          <w:sz w:val="24"/>
          <w:szCs w:val="24"/>
        </w:rPr>
        <w:t xml:space="preserve">przeprowadzonej przez Prezesa Agencji </w:t>
      </w:r>
      <w:r w:rsidRPr="00BA6588">
        <w:rPr>
          <w:b w:val="0"/>
          <w:bCs w:val="0"/>
          <w:sz w:val="24"/>
          <w:szCs w:val="24"/>
        </w:rPr>
        <w:t>analizy klinicznej badania wskazują, że wdrażanie kompleksowych, wielokomponentowych interwencji polegających na badaniach przesiewowych, edukacji oraz ocenie ryzyka złamań, znacząco wpływa na przyspieszenie rozpoczęcia leczenia osteoporozy. Ponadto w badaniach wskazuje się, że densytometria DXA uznawana jest za złoty standard w diagnostyce osteoporozy.</w:t>
      </w:r>
      <w:r>
        <w:rPr>
          <w:b w:val="0"/>
          <w:bCs w:val="0"/>
          <w:sz w:val="24"/>
          <w:szCs w:val="24"/>
        </w:rPr>
        <w:t xml:space="preserve"> </w:t>
      </w:r>
    </w:p>
    <w:p w14:paraId="3CC21B2E" w14:textId="7641F61D" w:rsidR="00BA6588" w:rsidRPr="0010511D" w:rsidRDefault="00BA6588" w:rsidP="0010511D">
      <w:pPr>
        <w:pStyle w:val="Teksttreci0"/>
        <w:spacing w:line="276" w:lineRule="auto"/>
        <w:ind w:firstLine="708"/>
        <w:jc w:val="both"/>
        <w:rPr>
          <w:rFonts w:ascii="Times New Roman" w:hAnsi="Times New Roman" w:cs="Times New Roman"/>
          <w:sz w:val="24"/>
          <w:szCs w:val="24"/>
        </w:rPr>
      </w:pPr>
      <w:r w:rsidRPr="0010511D">
        <w:rPr>
          <w:rFonts w:ascii="Times New Roman" w:hAnsi="Times New Roman" w:cs="Times New Roman"/>
          <w:color w:val="000000"/>
          <w:sz w:val="24"/>
          <w:szCs w:val="24"/>
        </w:rPr>
        <w:t>W Rekomendacjach przedstawiono wnioski z poniższych rekomendacji klinicznych:</w:t>
      </w:r>
    </w:p>
    <w:p w14:paraId="7D9976C5" w14:textId="77777777" w:rsidR="00BA6588" w:rsidRPr="002201F6"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lang w:val="en-US"/>
        </w:rPr>
      </w:pPr>
      <w:bookmarkStart w:id="9" w:name="bookmark22"/>
      <w:bookmarkEnd w:id="9"/>
      <w:r w:rsidRPr="002201F6">
        <w:rPr>
          <w:rFonts w:ascii="Times New Roman" w:hAnsi="Times New Roman" w:cs="Times New Roman"/>
          <w:color w:val="000000"/>
          <w:sz w:val="24"/>
          <w:szCs w:val="24"/>
          <w:lang w:val="en-US"/>
        </w:rPr>
        <w:t>U.S. Preventive Service Task Force (USPSTF) 2018,</w:t>
      </w:r>
    </w:p>
    <w:p w14:paraId="036E5337" w14:textId="77777777" w:rsidR="00BA6588" w:rsidRPr="002201F6"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lang w:val="en-US"/>
        </w:rPr>
      </w:pPr>
      <w:bookmarkStart w:id="10" w:name="bookmark23"/>
      <w:bookmarkEnd w:id="10"/>
      <w:r w:rsidRPr="002201F6">
        <w:rPr>
          <w:rFonts w:ascii="Times New Roman" w:hAnsi="Times New Roman" w:cs="Times New Roman"/>
          <w:color w:val="000000"/>
          <w:sz w:val="24"/>
          <w:szCs w:val="24"/>
          <w:lang w:val="en-US"/>
        </w:rPr>
        <w:t>National Institute for Health and Care Excellence (NICE) 2017,</w:t>
      </w:r>
    </w:p>
    <w:p w14:paraId="3A7B0AF8" w14:textId="77777777" w:rsidR="00BA6588" w:rsidRPr="00BA6588"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rPr>
      </w:pPr>
      <w:bookmarkStart w:id="11" w:name="bookmark24"/>
      <w:bookmarkEnd w:id="11"/>
      <w:r w:rsidRPr="00BA6588">
        <w:rPr>
          <w:rFonts w:ascii="Times New Roman" w:hAnsi="Times New Roman" w:cs="Times New Roman"/>
          <w:color w:val="000000"/>
          <w:sz w:val="24"/>
          <w:szCs w:val="24"/>
        </w:rPr>
        <w:t>Wielodyscyplinarne Forum Osteoporotyczne (WFO) 2017,</w:t>
      </w:r>
    </w:p>
    <w:p w14:paraId="1D60A975" w14:textId="77777777" w:rsidR="00BA6588" w:rsidRPr="002201F6"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lang w:val="en-US"/>
        </w:rPr>
      </w:pPr>
      <w:bookmarkStart w:id="12" w:name="bookmark25"/>
      <w:bookmarkEnd w:id="12"/>
      <w:r w:rsidRPr="002201F6">
        <w:rPr>
          <w:rFonts w:ascii="Times New Roman" w:hAnsi="Times New Roman" w:cs="Times New Roman"/>
          <w:color w:val="000000"/>
          <w:sz w:val="24"/>
          <w:szCs w:val="24"/>
          <w:lang w:val="en-US"/>
        </w:rPr>
        <w:t>American College of Physicians (ACP) 2017,</w:t>
      </w:r>
    </w:p>
    <w:p w14:paraId="2051AD6C" w14:textId="77777777" w:rsidR="00BA6588" w:rsidRPr="002201F6"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lang w:val="en-US"/>
        </w:rPr>
      </w:pPr>
      <w:bookmarkStart w:id="13" w:name="bookmark26"/>
      <w:bookmarkEnd w:id="13"/>
      <w:r w:rsidRPr="002201F6">
        <w:rPr>
          <w:rFonts w:ascii="Times New Roman" w:hAnsi="Times New Roman" w:cs="Times New Roman"/>
          <w:color w:val="000000"/>
          <w:sz w:val="24"/>
          <w:szCs w:val="24"/>
          <w:lang w:val="en-US"/>
        </w:rPr>
        <w:t>American College of Radiology (ACR) 2017,</w:t>
      </w:r>
    </w:p>
    <w:p w14:paraId="7876B962" w14:textId="77777777" w:rsidR="00BA6588" w:rsidRPr="002201F6"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lang w:val="en-US"/>
        </w:rPr>
      </w:pPr>
      <w:bookmarkStart w:id="14" w:name="bookmark27"/>
      <w:bookmarkEnd w:id="14"/>
      <w:r w:rsidRPr="002201F6">
        <w:rPr>
          <w:rFonts w:ascii="Times New Roman" w:hAnsi="Times New Roman" w:cs="Times New Roman"/>
          <w:color w:val="000000"/>
          <w:sz w:val="24"/>
          <w:szCs w:val="24"/>
          <w:lang w:val="en-US"/>
        </w:rPr>
        <w:t>UK National Osteoporosis Guideline Group (NOGG) 2017,</w:t>
      </w:r>
    </w:p>
    <w:p w14:paraId="7DB2EACB" w14:textId="77777777" w:rsidR="00BA6588" w:rsidRPr="002201F6"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lang w:val="en-US"/>
        </w:rPr>
      </w:pPr>
      <w:bookmarkStart w:id="15" w:name="bookmark28"/>
      <w:bookmarkEnd w:id="15"/>
      <w:r w:rsidRPr="002201F6">
        <w:rPr>
          <w:rFonts w:ascii="Times New Roman" w:hAnsi="Times New Roman" w:cs="Times New Roman"/>
          <w:color w:val="000000"/>
          <w:sz w:val="24"/>
          <w:szCs w:val="24"/>
          <w:lang w:val="en-US"/>
        </w:rPr>
        <w:t>Royal Australian College of General Practitioners (RACGP) 2017,</w:t>
      </w:r>
    </w:p>
    <w:p w14:paraId="53E67A3C" w14:textId="77777777" w:rsidR="00BA6588" w:rsidRPr="002201F6"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lang w:val="en-US"/>
        </w:rPr>
      </w:pPr>
      <w:bookmarkStart w:id="16" w:name="bookmark29"/>
      <w:bookmarkEnd w:id="16"/>
      <w:r w:rsidRPr="002201F6">
        <w:rPr>
          <w:rFonts w:ascii="Times New Roman" w:hAnsi="Times New Roman" w:cs="Times New Roman"/>
          <w:color w:val="000000"/>
          <w:sz w:val="24"/>
          <w:szCs w:val="24"/>
          <w:lang w:val="en-US"/>
        </w:rPr>
        <w:t>Institute for Clinical Systems Improvement (ICSI) 2017,</w:t>
      </w:r>
    </w:p>
    <w:p w14:paraId="4BEC3FD0" w14:textId="77777777" w:rsidR="00BA6588" w:rsidRPr="00BA6588"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rPr>
      </w:pPr>
      <w:bookmarkStart w:id="17" w:name="bookmark30"/>
      <w:bookmarkEnd w:id="17"/>
      <w:r w:rsidRPr="00BA6588">
        <w:rPr>
          <w:rFonts w:ascii="Times New Roman" w:hAnsi="Times New Roman" w:cs="Times New Roman"/>
          <w:color w:val="000000"/>
          <w:sz w:val="24"/>
          <w:szCs w:val="24"/>
        </w:rPr>
        <w:t>World Health Organization (WHO) 2016,</w:t>
      </w:r>
    </w:p>
    <w:p w14:paraId="4158FD9B" w14:textId="77777777" w:rsidR="00BA6588" w:rsidRPr="002201F6" w:rsidRDefault="00BA6588" w:rsidP="00BA6588">
      <w:pPr>
        <w:pStyle w:val="Teksttreci0"/>
        <w:numPr>
          <w:ilvl w:val="0"/>
          <w:numId w:val="37"/>
        </w:numPr>
        <w:tabs>
          <w:tab w:val="left" w:pos="1259"/>
        </w:tabs>
        <w:spacing w:line="276" w:lineRule="auto"/>
        <w:ind w:left="1260" w:hanging="360"/>
        <w:jc w:val="both"/>
        <w:rPr>
          <w:rFonts w:ascii="Times New Roman" w:hAnsi="Times New Roman" w:cs="Times New Roman"/>
          <w:sz w:val="24"/>
          <w:szCs w:val="24"/>
          <w:lang w:val="en-US"/>
        </w:rPr>
      </w:pPr>
      <w:bookmarkStart w:id="18" w:name="bookmark31"/>
      <w:bookmarkEnd w:id="18"/>
      <w:r w:rsidRPr="002201F6">
        <w:rPr>
          <w:rFonts w:ascii="Times New Roman" w:hAnsi="Times New Roman" w:cs="Times New Roman"/>
          <w:color w:val="000000"/>
          <w:sz w:val="24"/>
          <w:szCs w:val="24"/>
          <w:lang w:val="en-US"/>
        </w:rPr>
        <w:t>American Association of Clinical Endocrinologists, American College of Endocrinology (AACE/ACE) 2016,</w:t>
      </w:r>
    </w:p>
    <w:p w14:paraId="0E06047E" w14:textId="77777777" w:rsidR="00BA6588" w:rsidRPr="002201F6" w:rsidRDefault="00BA6588" w:rsidP="00BA6588">
      <w:pPr>
        <w:pStyle w:val="Teksttreci0"/>
        <w:numPr>
          <w:ilvl w:val="0"/>
          <w:numId w:val="37"/>
        </w:numPr>
        <w:tabs>
          <w:tab w:val="left" w:pos="1259"/>
        </w:tabs>
        <w:spacing w:line="276" w:lineRule="auto"/>
        <w:ind w:left="1260" w:hanging="360"/>
        <w:jc w:val="both"/>
        <w:rPr>
          <w:rFonts w:ascii="Times New Roman" w:hAnsi="Times New Roman" w:cs="Times New Roman"/>
          <w:sz w:val="24"/>
          <w:szCs w:val="24"/>
          <w:lang w:val="en-US"/>
        </w:rPr>
      </w:pPr>
      <w:bookmarkStart w:id="19" w:name="bookmark32"/>
      <w:bookmarkEnd w:id="19"/>
      <w:r w:rsidRPr="002201F6">
        <w:rPr>
          <w:rFonts w:ascii="Times New Roman" w:hAnsi="Times New Roman" w:cs="Times New Roman"/>
          <w:color w:val="000000"/>
          <w:sz w:val="24"/>
          <w:szCs w:val="24"/>
          <w:lang w:val="en-US"/>
        </w:rPr>
        <w:t>European League Against Rheumatism and European Federation of National Associations of Orthopaedics and Traumatology (EULAR/EFORT) 2016,</w:t>
      </w:r>
    </w:p>
    <w:p w14:paraId="17E71FCE" w14:textId="77777777" w:rsidR="00BA6588" w:rsidRPr="00BA6588"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rPr>
      </w:pPr>
      <w:bookmarkStart w:id="20" w:name="bookmark33"/>
      <w:bookmarkEnd w:id="20"/>
      <w:r w:rsidRPr="00BA6588">
        <w:rPr>
          <w:rFonts w:ascii="Times New Roman" w:hAnsi="Times New Roman" w:cs="Times New Roman"/>
          <w:color w:val="000000"/>
          <w:sz w:val="24"/>
          <w:szCs w:val="24"/>
        </w:rPr>
        <w:t>Malaysian Clinical Guidance (MCG) 2016,</w:t>
      </w:r>
    </w:p>
    <w:p w14:paraId="18BBE6FF" w14:textId="77777777" w:rsidR="00BA6588" w:rsidRPr="002201F6" w:rsidRDefault="00BA6588" w:rsidP="00BA6588">
      <w:pPr>
        <w:pStyle w:val="Teksttreci0"/>
        <w:numPr>
          <w:ilvl w:val="0"/>
          <w:numId w:val="37"/>
        </w:numPr>
        <w:tabs>
          <w:tab w:val="left" w:pos="1259"/>
        </w:tabs>
        <w:spacing w:line="276" w:lineRule="auto"/>
        <w:ind w:left="1260" w:hanging="360"/>
        <w:jc w:val="both"/>
        <w:rPr>
          <w:rFonts w:ascii="Times New Roman" w:hAnsi="Times New Roman" w:cs="Times New Roman"/>
          <w:sz w:val="24"/>
          <w:szCs w:val="24"/>
          <w:lang w:val="en-US"/>
        </w:rPr>
      </w:pPr>
      <w:bookmarkStart w:id="21" w:name="bookmark34"/>
      <w:bookmarkEnd w:id="21"/>
      <w:r w:rsidRPr="002201F6">
        <w:rPr>
          <w:rFonts w:ascii="Times New Roman" w:hAnsi="Times New Roman" w:cs="Times New Roman"/>
          <w:color w:val="000000"/>
          <w:sz w:val="24"/>
          <w:szCs w:val="24"/>
          <w:lang w:val="en-US"/>
        </w:rPr>
        <w:t>The Italian Society for Osteoporosis, Mineral Metabolism and Bone Diseases (SIOMMMS) 2016,</w:t>
      </w:r>
    </w:p>
    <w:p w14:paraId="7B999136" w14:textId="77777777" w:rsidR="00BA6588" w:rsidRPr="002201F6" w:rsidRDefault="00BA6588" w:rsidP="00BA6588">
      <w:pPr>
        <w:pStyle w:val="Teksttreci0"/>
        <w:numPr>
          <w:ilvl w:val="0"/>
          <w:numId w:val="37"/>
        </w:numPr>
        <w:tabs>
          <w:tab w:val="left" w:pos="1259"/>
        </w:tabs>
        <w:spacing w:line="276" w:lineRule="auto"/>
        <w:ind w:left="1260" w:hanging="360"/>
        <w:jc w:val="both"/>
        <w:rPr>
          <w:rFonts w:ascii="Times New Roman" w:hAnsi="Times New Roman" w:cs="Times New Roman"/>
          <w:sz w:val="24"/>
          <w:szCs w:val="24"/>
          <w:lang w:val="en-US"/>
        </w:rPr>
      </w:pPr>
      <w:bookmarkStart w:id="22" w:name="bookmark35"/>
      <w:bookmarkEnd w:id="22"/>
      <w:r w:rsidRPr="002201F6">
        <w:rPr>
          <w:rFonts w:ascii="Times New Roman" w:hAnsi="Times New Roman" w:cs="Times New Roman"/>
          <w:color w:val="000000"/>
          <w:sz w:val="24"/>
          <w:szCs w:val="24"/>
          <w:lang w:val="en-US"/>
        </w:rPr>
        <w:t>European Society for Clinical and Economic Aspects of Osteoporosis and Osteoarthritis (ESCEO) 2015,</w:t>
      </w:r>
    </w:p>
    <w:p w14:paraId="4D64B6E2" w14:textId="77777777" w:rsidR="00BA6588" w:rsidRPr="002201F6"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lang w:val="en-US"/>
        </w:rPr>
      </w:pPr>
      <w:bookmarkStart w:id="23" w:name="bookmark36"/>
      <w:bookmarkEnd w:id="23"/>
      <w:r w:rsidRPr="002201F6">
        <w:rPr>
          <w:rFonts w:ascii="Times New Roman" w:hAnsi="Times New Roman" w:cs="Times New Roman"/>
          <w:color w:val="000000"/>
          <w:sz w:val="24"/>
          <w:szCs w:val="24"/>
          <w:lang w:val="en-US"/>
        </w:rPr>
        <w:t>The International Society for Clinical Densitometry (ISCD) 2015,</w:t>
      </w:r>
    </w:p>
    <w:p w14:paraId="2BC8D618" w14:textId="77777777" w:rsidR="00BA6588" w:rsidRPr="002201F6"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lang w:val="en-US"/>
        </w:rPr>
      </w:pPr>
      <w:bookmarkStart w:id="24" w:name="bookmark37"/>
      <w:bookmarkEnd w:id="24"/>
      <w:r w:rsidRPr="002201F6">
        <w:rPr>
          <w:rFonts w:ascii="Times New Roman" w:hAnsi="Times New Roman" w:cs="Times New Roman"/>
          <w:color w:val="000000"/>
          <w:sz w:val="24"/>
          <w:szCs w:val="24"/>
          <w:lang w:val="en-US"/>
        </w:rPr>
        <w:t>Scottish Intercollegiate Guidelines Network (SIGN) 2015,</w:t>
      </w:r>
    </w:p>
    <w:p w14:paraId="52CA0FF7" w14:textId="77777777" w:rsidR="00BA6588" w:rsidRPr="00BA6588"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rPr>
      </w:pPr>
      <w:bookmarkStart w:id="25" w:name="bookmark38"/>
      <w:bookmarkEnd w:id="25"/>
      <w:r w:rsidRPr="00BA6588">
        <w:rPr>
          <w:rFonts w:ascii="Times New Roman" w:hAnsi="Times New Roman" w:cs="Times New Roman"/>
          <w:color w:val="000000"/>
          <w:sz w:val="24"/>
          <w:szCs w:val="24"/>
        </w:rPr>
        <w:t>National Osteoporosis Society (NOS) 2014,</w:t>
      </w:r>
    </w:p>
    <w:p w14:paraId="2CD347E1" w14:textId="77777777" w:rsidR="00BA6588" w:rsidRPr="002201F6"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lang w:val="en-US"/>
        </w:rPr>
      </w:pPr>
      <w:bookmarkStart w:id="26" w:name="bookmark39"/>
      <w:bookmarkEnd w:id="26"/>
      <w:r w:rsidRPr="002201F6">
        <w:rPr>
          <w:rFonts w:ascii="Times New Roman" w:hAnsi="Times New Roman" w:cs="Times New Roman"/>
          <w:color w:val="000000"/>
          <w:sz w:val="24"/>
          <w:szCs w:val="24"/>
          <w:lang w:val="en-US"/>
        </w:rPr>
        <w:t>Society of Obstetricians and Gynaecologists of Canada (SOGC) 2014,</w:t>
      </w:r>
    </w:p>
    <w:p w14:paraId="407951B7" w14:textId="77777777" w:rsidR="00BA6588" w:rsidRPr="002201F6" w:rsidRDefault="00BA6588" w:rsidP="00BA6588">
      <w:pPr>
        <w:pStyle w:val="Teksttreci0"/>
        <w:numPr>
          <w:ilvl w:val="0"/>
          <w:numId w:val="37"/>
        </w:numPr>
        <w:tabs>
          <w:tab w:val="left" w:pos="1259"/>
        </w:tabs>
        <w:spacing w:line="276" w:lineRule="auto"/>
        <w:ind w:left="1260" w:hanging="360"/>
        <w:jc w:val="both"/>
        <w:rPr>
          <w:rFonts w:ascii="Times New Roman" w:hAnsi="Times New Roman" w:cs="Times New Roman"/>
          <w:sz w:val="24"/>
          <w:szCs w:val="24"/>
          <w:lang w:val="en-US"/>
        </w:rPr>
      </w:pPr>
      <w:bookmarkStart w:id="27" w:name="bookmark40"/>
      <w:bookmarkEnd w:id="27"/>
      <w:r w:rsidRPr="002201F6">
        <w:rPr>
          <w:rFonts w:ascii="Times New Roman" w:hAnsi="Times New Roman" w:cs="Times New Roman"/>
          <w:color w:val="000000"/>
          <w:sz w:val="24"/>
          <w:szCs w:val="24"/>
          <w:lang w:val="en-US"/>
        </w:rPr>
        <w:t>European Society for Clinical and Economic Aspects of Osteoporosis and Osteoarthritis, International Osteoporosis Foundation (ESCEO/IOF) 2013,</w:t>
      </w:r>
    </w:p>
    <w:p w14:paraId="09409E32" w14:textId="77777777" w:rsidR="00BA6588" w:rsidRPr="00BA6588"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rPr>
      </w:pPr>
      <w:bookmarkStart w:id="28" w:name="bookmark41"/>
      <w:bookmarkEnd w:id="28"/>
      <w:r w:rsidRPr="00BA6588">
        <w:rPr>
          <w:rFonts w:ascii="Times New Roman" w:hAnsi="Times New Roman" w:cs="Times New Roman"/>
          <w:color w:val="000000"/>
          <w:sz w:val="24"/>
          <w:szCs w:val="24"/>
        </w:rPr>
        <w:t>Spanish Menopause Society (SMS) 2013,</w:t>
      </w:r>
    </w:p>
    <w:p w14:paraId="0F0186EF" w14:textId="77777777" w:rsidR="00BA6588" w:rsidRPr="002201F6"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lang w:val="en-US"/>
        </w:rPr>
      </w:pPr>
      <w:bookmarkStart w:id="29" w:name="bookmark42"/>
      <w:bookmarkEnd w:id="29"/>
      <w:r w:rsidRPr="002201F6">
        <w:rPr>
          <w:rFonts w:ascii="Times New Roman" w:hAnsi="Times New Roman" w:cs="Times New Roman"/>
          <w:color w:val="000000"/>
          <w:sz w:val="24"/>
          <w:szCs w:val="24"/>
          <w:lang w:val="en-US"/>
        </w:rPr>
        <w:t>American College of Obstetrician and Gynecologists (ACOG) 2012,</w:t>
      </w:r>
    </w:p>
    <w:p w14:paraId="48A23D17" w14:textId="77777777" w:rsidR="00BA6588" w:rsidRPr="00BA6588"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rPr>
      </w:pPr>
      <w:bookmarkStart w:id="30" w:name="bookmark43"/>
      <w:bookmarkEnd w:id="30"/>
      <w:r w:rsidRPr="00BA6588">
        <w:rPr>
          <w:rFonts w:ascii="Times New Roman" w:hAnsi="Times New Roman" w:cs="Times New Roman"/>
          <w:color w:val="000000"/>
          <w:sz w:val="24"/>
          <w:szCs w:val="24"/>
        </w:rPr>
        <w:lastRenderedPageBreak/>
        <w:t>The Endocrine Society (ESC) 2012,</w:t>
      </w:r>
    </w:p>
    <w:p w14:paraId="130E7306" w14:textId="77777777" w:rsidR="00BA6588" w:rsidRPr="002201F6" w:rsidRDefault="00BA6588" w:rsidP="00BA6588">
      <w:pPr>
        <w:pStyle w:val="Teksttreci0"/>
        <w:numPr>
          <w:ilvl w:val="0"/>
          <w:numId w:val="37"/>
        </w:numPr>
        <w:tabs>
          <w:tab w:val="left" w:pos="1259"/>
        </w:tabs>
        <w:spacing w:line="276" w:lineRule="auto"/>
        <w:ind w:left="1260" w:hanging="360"/>
        <w:jc w:val="both"/>
        <w:rPr>
          <w:rFonts w:ascii="Times New Roman" w:hAnsi="Times New Roman" w:cs="Times New Roman"/>
          <w:sz w:val="24"/>
          <w:szCs w:val="24"/>
          <w:lang w:val="en-US"/>
        </w:rPr>
      </w:pPr>
      <w:bookmarkStart w:id="31" w:name="bookmark44"/>
      <w:bookmarkEnd w:id="31"/>
      <w:r w:rsidRPr="002201F6">
        <w:rPr>
          <w:rFonts w:ascii="Times New Roman" w:hAnsi="Times New Roman" w:cs="Times New Roman"/>
          <w:color w:val="000000"/>
          <w:sz w:val="24"/>
          <w:szCs w:val="24"/>
          <w:lang w:val="en-US"/>
        </w:rPr>
        <w:t>The International Society for Clinical Densitometry, International Osteoporosis Foundation ISCD/IOF 2011,</w:t>
      </w:r>
    </w:p>
    <w:p w14:paraId="2C5F7496" w14:textId="77777777" w:rsidR="00BA6588" w:rsidRPr="00BA6588" w:rsidRDefault="00BA6588" w:rsidP="00BA6588">
      <w:pPr>
        <w:pStyle w:val="Teksttreci0"/>
        <w:numPr>
          <w:ilvl w:val="0"/>
          <w:numId w:val="37"/>
        </w:numPr>
        <w:tabs>
          <w:tab w:val="left" w:pos="1259"/>
        </w:tabs>
        <w:spacing w:line="276" w:lineRule="auto"/>
        <w:ind w:firstLine="900"/>
        <w:jc w:val="both"/>
        <w:rPr>
          <w:rFonts w:ascii="Times New Roman" w:hAnsi="Times New Roman" w:cs="Times New Roman"/>
          <w:sz w:val="24"/>
          <w:szCs w:val="24"/>
        </w:rPr>
      </w:pPr>
      <w:bookmarkStart w:id="32" w:name="bookmark45"/>
      <w:bookmarkEnd w:id="32"/>
      <w:r w:rsidRPr="00BA6588">
        <w:rPr>
          <w:rFonts w:ascii="Times New Roman" w:hAnsi="Times New Roman" w:cs="Times New Roman"/>
          <w:color w:val="000000"/>
          <w:sz w:val="24"/>
          <w:szCs w:val="24"/>
        </w:rPr>
        <w:t>Osteoporosis Canada (OC) 2010, 2015,</w:t>
      </w:r>
    </w:p>
    <w:p w14:paraId="11957FB3" w14:textId="120D6120" w:rsidR="00BA6588" w:rsidRPr="002201F6" w:rsidRDefault="00BA6588" w:rsidP="00BA6588">
      <w:pPr>
        <w:pStyle w:val="Teksttreci0"/>
        <w:numPr>
          <w:ilvl w:val="0"/>
          <w:numId w:val="37"/>
        </w:numPr>
        <w:tabs>
          <w:tab w:val="left" w:pos="1259"/>
        </w:tabs>
        <w:spacing w:after="220" w:line="276" w:lineRule="auto"/>
        <w:ind w:firstLine="900"/>
        <w:jc w:val="both"/>
        <w:rPr>
          <w:rFonts w:ascii="Times New Roman" w:hAnsi="Times New Roman" w:cs="Times New Roman"/>
          <w:sz w:val="24"/>
          <w:szCs w:val="24"/>
          <w:lang w:val="en-US"/>
        </w:rPr>
      </w:pPr>
      <w:bookmarkStart w:id="33" w:name="bookmark46"/>
      <w:bookmarkEnd w:id="33"/>
      <w:r w:rsidRPr="002201F6">
        <w:rPr>
          <w:rFonts w:ascii="Times New Roman" w:hAnsi="Times New Roman" w:cs="Times New Roman"/>
          <w:color w:val="000000"/>
          <w:sz w:val="24"/>
          <w:szCs w:val="24"/>
          <w:lang w:val="en-US"/>
        </w:rPr>
        <w:t>Canadian Task Force on Preventive Health Care (CTFPHC) 2010/2013.</w:t>
      </w:r>
      <w:bookmarkStart w:id="34" w:name="bookmark49"/>
      <w:bookmarkEnd w:id="34"/>
    </w:p>
    <w:p w14:paraId="2653D62D" w14:textId="18503737" w:rsidR="00BA6588" w:rsidRPr="00BA6588" w:rsidRDefault="00BA6588" w:rsidP="00BA6588">
      <w:pPr>
        <w:pStyle w:val="Teksttreci0"/>
        <w:tabs>
          <w:tab w:val="left" w:pos="1259"/>
        </w:tabs>
        <w:spacing w:after="220" w:line="276" w:lineRule="auto"/>
        <w:jc w:val="center"/>
        <w:rPr>
          <w:rFonts w:ascii="Times New Roman" w:hAnsi="Times New Roman" w:cs="Times New Roman"/>
          <w:sz w:val="24"/>
          <w:szCs w:val="24"/>
          <w:u w:val="single"/>
        </w:rPr>
      </w:pPr>
      <w:r w:rsidRPr="00BA6588">
        <w:rPr>
          <w:rFonts w:ascii="Times New Roman" w:hAnsi="Times New Roman" w:cs="Times New Roman"/>
          <w:color w:val="000000"/>
          <w:sz w:val="24"/>
          <w:szCs w:val="24"/>
          <w:u w:val="single"/>
        </w:rPr>
        <w:t>WNIOSKI</w:t>
      </w:r>
    </w:p>
    <w:p w14:paraId="2F50B4D2" w14:textId="77777777" w:rsidR="00BA6588" w:rsidRPr="00BA6588" w:rsidRDefault="00BA6588" w:rsidP="00BA6588">
      <w:pPr>
        <w:pStyle w:val="Teksttreci0"/>
        <w:spacing w:line="276" w:lineRule="auto"/>
        <w:ind w:firstLine="540"/>
        <w:jc w:val="both"/>
        <w:rPr>
          <w:rFonts w:ascii="Times New Roman" w:hAnsi="Times New Roman" w:cs="Times New Roman"/>
          <w:sz w:val="24"/>
          <w:szCs w:val="24"/>
          <w:u w:val="single"/>
        </w:rPr>
      </w:pPr>
      <w:r w:rsidRPr="00BA6588">
        <w:rPr>
          <w:rFonts w:ascii="Times New Roman" w:hAnsi="Times New Roman" w:cs="Times New Roman"/>
          <w:i/>
          <w:iCs/>
          <w:color w:val="000000"/>
          <w:sz w:val="24"/>
          <w:szCs w:val="24"/>
          <w:u w:val="single"/>
        </w:rPr>
        <w:t>Populacja docelowa badań</w:t>
      </w:r>
    </w:p>
    <w:p w14:paraId="46359802"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Na podstawie odnalezionych rekomendacji można wyodrębnić trzy główne grupy, do których mogą być skierowane badania w kierunku wczesnego wykrywania osteoporozy - kobiety &gt;65 r.ż., kobiety po menopauzie &lt;65 r.ż. oraz mężczyźni &gt;50 r.ż. (w szczególności &gt;70 r.ż.). Poniżej wskazano szczegółowe informacje z wytycznych dot. poszczególnych grup pacjentów:</w:t>
      </w:r>
    </w:p>
    <w:p w14:paraId="111555A7" w14:textId="77777777" w:rsidR="00BA6588" w:rsidRPr="00BA6588" w:rsidRDefault="00BA6588" w:rsidP="00BA6588">
      <w:pPr>
        <w:pStyle w:val="Teksttreci0"/>
        <w:numPr>
          <w:ilvl w:val="0"/>
          <w:numId w:val="39"/>
        </w:numPr>
        <w:tabs>
          <w:tab w:val="left" w:pos="810"/>
        </w:tabs>
        <w:spacing w:line="276" w:lineRule="auto"/>
        <w:ind w:firstLine="540"/>
        <w:jc w:val="both"/>
        <w:rPr>
          <w:rFonts w:ascii="Times New Roman" w:hAnsi="Times New Roman" w:cs="Times New Roman"/>
          <w:sz w:val="24"/>
          <w:szCs w:val="24"/>
        </w:rPr>
      </w:pPr>
      <w:bookmarkStart w:id="35" w:name="bookmark51"/>
      <w:bookmarkEnd w:id="35"/>
      <w:r w:rsidRPr="00BA6588">
        <w:rPr>
          <w:rFonts w:ascii="Times New Roman" w:hAnsi="Times New Roman" w:cs="Times New Roman"/>
          <w:color w:val="000000"/>
          <w:sz w:val="24"/>
          <w:szCs w:val="24"/>
        </w:rPr>
        <w:t>Kobiety &gt;65 r.ż.</w:t>
      </w:r>
    </w:p>
    <w:p w14:paraId="7A83A1BC"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 xml:space="preserve">Większość odnalezionych rekomendacji (USPSTF 2018a, ACR 2017, ICSI 2017, ACOG 2012, ESC 2012, NOF 2014, ISCD/IOF 2011) dotyczących badań przesiewowych, rekomenduje ich wykonywanie w populacji kobiet &gt;65 r.ż. z wykorzystaniem jedynie badania densytometrycznego (pomiar BMD, ang. </w:t>
      </w:r>
      <w:r w:rsidRPr="00BA6588">
        <w:rPr>
          <w:rFonts w:ascii="Times New Roman" w:hAnsi="Times New Roman" w:cs="Times New Roman"/>
          <w:i/>
          <w:iCs/>
          <w:color w:val="000000"/>
          <w:sz w:val="24"/>
          <w:szCs w:val="24"/>
        </w:rPr>
        <w:t>bone mineral density).</w:t>
      </w:r>
    </w:p>
    <w:p w14:paraId="26E0A0BC"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W celu oceny ryzyka złamań NICE wskazuje na możliwość zastosowania narzędzia FRAX lub QFracture (wykorzystywanego w populacji brytyjskiej). Zastosowanie narzędzia FRAX lub QFracture wraz z densytometrią rekomenduje także SIGN 2017, jednak wskazuje na populację kobiet &gt;50 r.ż. ze złamaniem niskoenergetycznym.</w:t>
      </w:r>
    </w:p>
    <w:p w14:paraId="12831475" w14:textId="77777777" w:rsidR="00BA6588" w:rsidRPr="00BA6588" w:rsidRDefault="00BA6588" w:rsidP="00BA6588">
      <w:pPr>
        <w:pStyle w:val="Teksttreci0"/>
        <w:numPr>
          <w:ilvl w:val="0"/>
          <w:numId w:val="39"/>
        </w:numPr>
        <w:tabs>
          <w:tab w:val="left" w:pos="824"/>
        </w:tabs>
        <w:spacing w:line="276" w:lineRule="auto"/>
        <w:ind w:firstLine="540"/>
        <w:jc w:val="both"/>
        <w:rPr>
          <w:rFonts w:ascii="Times New Roman" w:hAnsi="Times New Roman" w:cs="Times New Roman"/>
          <w:sz w:val="24"/>
          <w:szCs w:val="24"/>
        </w:rPr>
      </w:pPr>
      <w:bookmarkStart w:id="36" w:name="bookmark52"/>
      <w:bookmarkEnd w:id="36"/>
      <w:r w:rsidRPr="00BA6588">
        <w:rPr>
          <w:rFonts w:ascii="Times New Roman" w:hAnsi="Times New Roman" w:cs="Times New Roman"/>
          <w:color w:val="000000"/>
          <w:sz w:val="24"/>
          <w:szCs w:val="24"/>
        </w:rPr>
        <w:t>Kobiety poniżej 65 r.ż. po menopauzie</w:t>
      </w:r>
    </w:p>
    <w:p w14:paraId="49B47CE8"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W odniesieniu do młodszych kobiet po menopauzie rekomendacje nie są jednoznaczne co do dokładnego wieku tej populacji. Wskazuje się na kobiety po menopauzie &lt;65 r.ż., u których występują dodatkowe czynniki ryzyka złamania tj. niska masa ciała, złamania w przeszłości, stosowanie GKS, choroba lub stan związany z utratą kości. Jako badanie przesiewowe w tej grupie kobiet wskazuje się na densytometrię (ACR 2017, ICSI 2017, ACOG 2012).</w:t>
      </w:r>
    </w:p>
    <w:p w14:paraId="2C28B729"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Poprzedzenie densytometrii oceną ryzyka złamania za pomocą odpowiedniego narzędzia oceny ryzyka złamania wśród kobiet &lt;65 r.ż., u których występują dodatkowe czynniki ryzyka złamania tj. niska masa ciała, złamania w przeszłości, stosowanie GKS, choroba lub stan związany z utratą kości rekomendują USPSTF 2018a, NICE 2017, NOF 2014, ISCD/IOF 2011.</w:t>
      </w:r>
    </w:p>
    <w:p w14:paraId="3107626F" w14:textId="77777777" w:rsidR="00BA6588" w:rsidRPr="00BA6588" w:rsidRDefault="00BA6588" w:rsidP="00BA6588">
      <w:pPr>
        <w:pStyle w:val="Teksttreci0"/>
        <w:numPr>
          <w:ilvl w:val="0"/>
          <w:numId w:val="39"/>
        </w:numPr>
        <w:tabs>
          <w:tab w:val="left" w:pos="824"/>
        </w:tabs>
        <w:spacing w:line="276" w:lineRule="auto"/>
        <w:ind w:firstLine="540"/>
        <w:jc w:val="both"/>
        <w:rPr>
          <w:rFonts w:ascii="Times New Roman" w:hAnsi="Times New Roman" w:cs="Times New Roman"/>
          <w:sz w:val="24"/>
          <w:szCs w:val="24"/>
        </w:rPr>
      </w:pPr>
      <w:bookmarkStart w:id="37" w:name="bookmark53"/>
      <w:bookmarkEnd w:id="37"/>
      <w:r w:rsidRPr="00BA6588">
        <w:rPr>
          <w:rFonts w:ascii="Times New Roman" w:hAnsi="Times New Roman" w:cs="Times New Roman"/>
          <w:color w:val="000000"/>
          <w:sz w:val="24"/>
          <w:szCs w:val="24"/>
        </w:rPr>
        <w:t>Mężczyźni</w:t>
      </w:r>
    </w:p>
    <w:p w14:paraId="0357FB31"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Badania przesiewowe mężczyzn &gt;70 r.ż. z zastosowaniem densytometrii zalecane jest przez następujące towarzystwa naukowe: ACR 2017, ESC 2012, NOF 2014, ISCD/IOF 2011.</w:t>
      </w:r>
    </w:p>
    <w:p w14:paraId="614C497C"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ICSI 2017 rekomenduje, aby decyzja o przesiewie w tej grupie wiekowej mężczyzn podejmowana była w oparciu o indywidualne podejście tj. wspólna decyzja pacjenta i lekarza. USPSTF 2018a stwierdza natomiast, że nie ma wystarczających dowodów naukowych, aby rekomendować badania przesiewowe w jakiekolwiek grupie wiekowej mężczyzn.</w:t>
      </w:r>
    </w:p>
    <w:p w14:paraId="46AC0D36"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lastRenderedPageBreak/>
        <w:t>Kolejną grupę wśród mężczyzn jaką można wyodrębnić to mężczyźni w wieku 50-69 lat z dodatkowymi czynnikami ryzyka. W tym przypadku rekomendowana jest ocena ryzyka złamania za pomocą odpowiedniego narzędzia (FRAX lub kalkulator Garvana) oraz badanie densytometryczne (ESC 2012, NOF 2014, ISCD/IOF 2011).</w:t>
      </w:r>
    </w:p>
    <w:p w14:paraId="5183B16C"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NICE 2017 zaleca, aby badaniom tym poddać mężczyzn &gt;75 lat oraz mężczyzn &lt;75. r.ż. z obecnością czynników ryzyka, m.in.: złamania niskoenergetycznego w przeszłości, upadków w przeszłości, niskiego BMI (&lt;18,5 kg/m2), palenia papierosów (NICE zaznacza, że po przeprowadzeniu oceny ryzyka narzędziem FRAX lub QFracture należy rozważyć pomiar BMD przy pomocy DXA u tych osób, u których ryzyko złamania jest bliskie wartości progowej przewidzianej dla wdrożenia leczenia).</w:t>
      </w:r>
    </w:p>
    <w:p w14:paraId="443A7026" w14:textId="77777777" w:rsidR="00BA6588" w:rsidRPr="00BA6588" w:rsidRDefault="00BA6588" w:rsidP="00BA6588">
      <w:pPr>
        <w:pStyle w:val="Teksttreci0"/>
        <w:spacing w:line="276" w:lineRule="auto"/>
        <w:ind w:firstLine="540"/>
        <w:jc w:val="both"/>
        <w:rPr>
          <w:rFonts w:ascii="Times New Roman" w:hAnsi="Times New Roman" w:cs="Times New Roman"/>
          <w:sz w:val="24"/>
          <w:szCs w:val="24"/>
          <w:u w:val="single"/>
        </w:rPr>
      </w:pPr>
      <w:r w:rsidRPr="00BA6588">
        <w:rPr>
          <w:rFonts w:ascii="Times New Roman" w:hAnsi="Times New Roman" w:cs="Times New Roman"/>
          <w:i/>
          <w:iCs/>
          <w:color w:val="000000"/>
          <w:sz w:val="24"/>
          <w:szCs w:val="24"/>
          <w:u w:val="single"/>
        </w:rPr>
        <w:t>Interwały czasowe wykonywania badań przesiewowych</w:t>
      </w:r>
    </w:p>
    <w:p w14:paraId="10ED3B92"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W odniesieniu do określenia interwału czasowego wykonywania badań przesiewowych DXA, odnalezione dowody naukowe są ograniczone i niespójne. W przypadku braku nowych czynników ryzyka, skryningowe badania DXA nie powinny być wykonywane częściej niż co 2 lata. Jeżeli stwierdzono, że wartość BMD jest stabilna, lub uległa poprawie, przy braku nowych czynników ryzyka, nie należy powtarzać badania DXA (ACOG 2012 - rekomendacje oparte na ograniczonych i niespójnych dowodach naukowych). W opinii USPSTF, nie wykazano korzyści w ocenie ryzyka złamań wynikających z powtarzania testów pomiaru gęstości kości 4 do 8 lat po wstępnym badaniu przesiewowym (USPSTF 2018a). Ponowna kalkulacja ryzyka złamania (za pomocą odpowiedniego kalkulatora) nie powinna być wykonywana wcześniej niż po upływie 2 lat (NICE 2017).</w:t>
      </w:r>
    </w:p>
    <w:p w14:paraId="78131ABD" w14:textId="77777777" w:rsidR="00BA6588" w:rsidRPr="00BA6588" w:rsidRDefault="00BA6588" w:rsidP="00BA6588">
      <w:pPr>
        <w:pStyle w:val="Teksttreci0"/>
        <w:spacing w:line="276" w:lineRule="auto"/>
        <w:ind w:firstLine="540"/>
        <w:jc w:val="both"/>
        <w:rPr>
          <w:rFonts w:ascii="Times New Roman" w:hAnsi="Times New Roman" w:cs="Times New Roman"/>
          <w:sz w:val="24"/>
          <w:szCs w:val="24"/>
          <w:u w:val="single"/>
        </w:rPr>
      </w:pPr>
      <w:r w:rsidRPr="00BA6588">
        <w:rPr>
          <w:rFonts w:ascii="Times New Roman" w:hAnsi="Times New Roman" w:cs="Times New Roman"/>
          <w:i/>
          <w:iCs/>
          <w:color w:val="000000"/>
          <w:sz w:val="24"/>
          <w:szCs w:val="24"/>
          <w:u w:val="single"/>
        </w:rPr>
        <w:t>Ocena ryzyka wystąpienia złamań osteoporotycznych</w:t>
      </w:r>
    </w:p>
    <w:p w14:paraId="0FF5C88A"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Wytyczne USPSTF 2018 wskazują, że ocena ryzyka wystąpienia osteoporozy powinna obejmować: występowanie wśród rodziców złamań biodra, palenie papierosów, nadmierne spożywanie alkoholu i niską masę ciała, w przypadku kobiet istotny jest także stan menopauzalny.</w:t>
      </w:r>
    </w:p>
    <w:p w14:paraId="631AFD9E"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Wśród dostępnych narzędzi służących ocenie ryzyka występowania osteoporozy wytyczne te wymieniają OST, ORAI, OSIRIS, SCORE oraz FRAX. Wśród testów przesiewowych wskazuje się na DXA biodra oraz odcinka lędźwiowego kręgosłupa (uznawany za najczęściej stosowany).</w:t>
      </w:r>
    </w:p>
    <w:p w14:paraId="1D808C0A" w14:textId="60832B43"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i/>
          <w:iCs/>
          <w:color w:val="000000"/>
          <w:sz w:val="24"/>
          <w:szCs w:val="24"/>
        </w:rPr>
        <w:t>Z</w:t>
      </w:r>
      <w:r w:rsidRPr="00BA6588">
        <w:rPr>
          <w:rFonts w:ascii="Times New Roman" w:hAnsi="Times New Roman" w:cs="Times New Roman"/>
          <w:color w:val="000000"/>
          <w:sz w:val="24"/>
          <w:szCs w:val="24"/>
        </w:rPr>
        <w:t xml:space="preserve"> kolei NICE 2017 rekomenduje do oszacowania bezwzględnego ryzyka złamania stosowanie narzędzia FRAX lub QFracture. Należy jednak zaznaczyć, że kalkulator QFracture jest przeznaczony dla populacji brytyjskiej. Cześć wytycznych podkreśla również ograniczenia narzędzia FRAX, które dot. m.in. ograniczon</w:t>
      </w:r>
      <w:r w:rsidR="000D773B">
        <w:rPr>
          <w:rFonts w:ascii="Times New Roman" w:hAnsi="Times New Roman" w:cs="Times New Roman"/>
          <w:color w:val="000000"/>
          <w:sz w:val="24"/>
          <w:szCs w:val="24"/>
        </w:rPr>
        <w:t>ych</w:t>
      </w:r>
      <w:r w:rsidRPr="00BA6588">
        <w:rPr>
          <w:rFonts w:ascii="Times New Roman" w:hAnsi="Times New Roman" w:cs="Times New Roman"/>
          <w:color w:val="000000"/>
          <w:sz w:val="24"/>
          <w:szCs w:val="24"/>
        </w:rPr>
        <w:t xml:space="preserve"> możliwości pomiaru BMD, brak uwzględnienia wszystkich możliwych czynników ryzyka, brak uwzględnienia w oszacowaniu liczby wypalanych papierosów, dokładnej ilości spożywanego alkoholu, stopnia ekspozycji na glikokortykoidy, a także faktu, iż dwa wcześniejsze złamania w przeszłości niosą za sobą większe ryzyko niż jedno złamanie.</w:t>
      </w:r>
    </w:p>
    <w:p w14:paraId="678915DA"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Wytyczne zgodnie wskazują, że DXA pozostaje złotym standardem służącym wykonaniu pomiaru BMD w rozpoznaniu osteoporozy. Metoda DXA wciąż pozostaje rekomendowaną metodą w diagnostyce osteoporozy i monitorowaniu efektów terapii.</w:t>
      </w:r>
    </w:p>
    <w:p w14:paraId="11182B35"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lastRenderedPageBreak/>
        <w:t xml:space="preserve">W rozpoznaniu osteoporozy Światowa Organizacji Zdrowia (WHO, World Health Organization) podaje następujące kryteria densytometryczne rozpoznawania osteoporozy na podstawie pomiaru BMD techniką DXA bliższego końca kości udowej (lub kręgów) u kobiet po menopauzie [wskaźnik T </w:t>
      </w:r>
      <w:r w:rsidRPr="00BA6588">
        <w:rPr>
          <w:rFonts w:ascii="Times New Roman" w:hAnsi="Times New Roman" w:cs="Times New Roman"/>
          <w:i/>
          <w:iCs/>
          <w:color w:val="000000"/>
          <w:sz w:val="24"/>
          <w:szCs w:val="24"/>
        </w:rPr>
        <w:t xml:space="preserve">(T-score) </w:t>
      </w:r>
      <w:r w:rsidRPr="00BA6588">
        <w:rPr>
          <w:rFonts w:ascii="Times New Roman" w:hAnsi="Times New Roman" w:cs="Times New Roman"/>
          <w:color w:val="000000"/>
          <w:sz w:val="24"/>
          <w:szCs w:val="24"/>
        </w:rPr>
        <w:t>wyrażany jako liczba odchyleń standardowych w stosunku do punktu odniesienia, jaki stanowi szczytowa masa kostna):</w:t>
      </w:r>
    </w:p>
    <w:p w14:paraId="673E5004" w14:textId="77777777" w:rsidR="00BA6588" w:rsidRPr="00BA6588" w:rsidRDefault="00BA6588" w:rsidP="00BA6588">
      <w:pPr>
        <w:pStyle w:val="Teksttreci0"/>
        <w:numPr>
          <w:ilvl w:val="0"/>
          <w:numId w:val="37"/>
        </w:numPr>
        <w:tabs>
          <w:tab w:val="left" w:pos="1255"/>
        </w:tabs>
        <w:spacing w:line="276" w:lineRule="auto"/>
        <w:ind w:firstLine="900"/>
        <w:jc w:val="both"/>
        <w:rPr>
          <w:rFonts w:ascii="Times New Roman" w:hAnsi="Times New Roman" w:cs="Times New Roman"/>
          <w:sz w:val="24"/>
          <w:szCs w:val="24"/>
        </w:rPr>
      </w:pPr>
      <w:bookmarkStart w:id="38" w:name="bookmark54"/>
      <w:bookmarkEnd w:id="38"/>
      <w:r w:rsidRPr="00BA6588">
        <w:rPr>
          <w:rFonts w:ascii="Times New Roman" w:hAnsi="Times New Roman" w:cs="Times New Roman"/>
          <w:color w:val="000000"/>
          <w:sz w:val="24"/>
          <w:szCs w:val="24"/>
        </w:rPr>
        <w:t>T-score &gt;-1 SD — wartość prawidłowa,</w:t>
      </w:r>
    </w:p>
    <w:p w14:paraId="5C909965" w14:textId="77777777" w:rsidR="00BA6588" w:rsidRPr="00BA6588" w:rsidRDefault="00BA6588" w:rsidP="00BA6588">
      <w:pPr>
        <w:pStyle w:val="Teksttreci0"/>
        <w:numPr>
          <w:ilvl w:val="0"/>
          <w:numId w:val="37"/>
        </w:numPr>
        <w:tabs>
          <w:tab w:val="left" w:pos="1255"/>
        </w:tabs>
        <w:spacing w:line="276" w:lineRule="auto"/>
        <w:ind w:firstLine="900"/>
        <w:jc w:val="both"/>
        <w:rPr>
          <w:rFonts w:ascii="Times New Roman" w:hAnsi="Times New Roman" w:cs="Times New Roman"/>
          <w:sz w:val="24"/>
          <w:szCs w:val="24"/>
        </w:rPr>
      </w:pPr>
      <w:bookmarkStart w:id="39" w:name="bookmark55"/>
      <w:bookmarkEnd w:id="39"/>
      <w:r w:rsidRPr="00BA6588">
        <w:rPr>
          <w:rFonts w:ascii="Times New Roman" w:hAnsi="Times New Roman" w:cs="Times New Roman"/>
          <w:color w:val="000000"/>
          <w:sz w:val="24"/>
          <w:szCs w:val="24"/>
        </w:rPr>
        <w:t>T-score od -1 do -2,5 SD — osteopenia,</w:t>
      </w:r>
    </w:p>
    <w:p w14:paraId="32599FC5" w14:textId="77777777" w:rsidR="00BA6588" w:rsidRPr="00BA6588" w:rsidRDefault="00BA6588" w:rsidP="00BA6588">
      <w:pPr>
        <w:pStyle w:val="Teksttreci0"/>
        <w:numPr>
          <w:ilvl w:val="0"/>
          <w:numId w:val="37"/>
        </w:numPr>
        <w:tabs>
          <w:tab w:val="left" w:pos="1255"/>
        </w:tabs>
        <w:spacing w:line="276" w:lineRule="auto"/>
        <w:ind w:firstLine="900"/>
        <w:jc w:val="both"/>
        <w:rPr>
          <w:rFonts w:ascii="Times New Roman" w:hAnsi="Times New Roman" w:cs="Times New Roman"/>
          <w:sz w:val="24"/>
          <w:szCs w:val="24"/>
        </w:rPr>
      </w:pPr>
      <w:bookmarkStart w:id="40" w:name="bookmark56"/>
      <w:bookmarkEnd w:id="40"/>
      <w:r w:rsidRPr="00BA6588">
        <w:rPr>
          <w:rFonts w:ascii="Times New Roman" w:hAnsi="Times New Roman" w:cs="Times New Roman"/>
          <w:color w:val="000000"/>
          <w:sz w:val="24"/>
          <w:szCs w:val="24"/>
        </w:rPr>
        <w:t>T-score &lt;-2,5 SD — osteoporoza,</w:t>
      </w:r>
    </w:p>
    <w:p w14:paraId="33530782" w14:textId="77777777" w:rsidR="00BA6588" w:rsidRPr="00BA6588" w:rsidRDefault="00BA6588" w:rsidP="00BA6588">
      <w:pPr>
        <w:pStyle w:val="Teksttreci0"/>
        <w:numPr>
          <w:ilvl w:val="0"/>
          <w:numId w:val="37"/>
        </w:numPr>
        <w:tabs>
          <w:tab w:val="left" w:pos="1255"/>
        </w:tabs>
        <w:spacing w:line="276" w:lineRule="auto"/>
        <w:ind w:firstLine="900"/>
        <w:jc w:val="both"/>
        <w:rPr>
          <w:rFonts w:ascii="Times New Roman" w:hAnsi="Times New Roman" w:cs="Times New Roman"/>
          <w:sz w:val="24"/>
          <w:szCs w:val="24"/>
        </w:rPr>
      </w:pPr>
      <w:bookmarkStart w:id="41" w:name="bookmark57"/>
      <w:bookmarkEnd w:id="41"/>
      <w:r w:rsidRPr="00BA6588">
        <w:rPr>
          <w:rFonts w:ascii="Times New Roman" w:hAnsi="Times New Roman" w:cs="Times New Roman"/>
          <w:color w:val="000000"/>
          <w:sz w:val="24"/>
          <w:szCs w:val="24"/>
        </w:rPr>
        <w:t>T-score &lt;-2,5 SD i złamanie osteoporotyczne — osteoporoza zaawansowana.</w:t>
      </w:r>
    </w:p>
    <w:p w14:paraId="1353CFE2"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Badania kontrolne powinno się wykonywać tym samym aparatem i w tej samej lokalizacji pomiaru. Densytometryczne kryteria WHO służą do rozpoznawania osteoporozy u kobiet po menopauzie oraz mężczyzn po 50 r.ż. i odnoszą się głównie do BMD szyjki kości udowej, choć w praktyce klinicznej te same kryteria można odnosić do BMD lędźwiowego odcinka kręgosłupa i całego bliższego końca kości udowej.</w:t>
      </w:r>
    </w:p>
    <w:p w14:paraId="115AD9C9" w14:textId="77777777" w:rsidR="00BA6588" w:rsidRPr="002D4023" w:rsidRDefault="00BA6588" w:rsidP="00BA6588">
      <w:pPr>
        <w:pStyle w:val="Teksttreci0"/>
        <w:spacing w:line="276" w:lineRule="auto"/>
        <w:ind w:firstLine="540"/>
        <w:jc w:val="both"/>
        <w:rPr>
          <w:rFonts w:ascii="Times New Roman" w:hAnsi="Times New Roman" w:cs="Times New Roman"/>
          <w:sz w:val="24"/>
          <w:szCs w:val="24"/>
          <w:u w:val="single"/>
        </w:rPr>
      </w:pPr>
      <w:r w:rsidRPr="002D4023">
        <w:rPr>
          <w:rFonts w:ascii="Times New Roman" w:hAnsi="Times New Roman" w:cs="Times New Roman"/>
          <w:i/>
          <w:iCs/>
          <w:color w:val="000000"/>
          <w:sz w:val="24"/>
          <w:szCs w:val="24"/>
          <w:u w:val="single"/>
        </w:rPr>
        <w:t>Dodatkowe aspekty związane z profilaktyką osteoporozy</w:t>
      </w:r>
    </w:p>
    <w:p w14:paraId="6561AED6"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Odnalezione rekomendacje (WFO 2017, NOGG 2017, RACGP 2017, EULAR/EFORT 2016, SOGC 2014, SMS 2013) wskazują na szereg interwencji, które mają zastosowanie w prewencji osteoporozy. Podkreśla się przede wszystkim znaczenie odpowiedniej podaży wapnia i witaminy D w pożywieniu, aktywnego ruchowo trybu życia, eliminację używek - alkohol i papierosy. Główne zalecenie dotyczy tego, aby w szeroko pojętej profilaktyce osteoporozy dążyć do zapewnienia prawidłowej podaży wapnia w codziennej diecie oraz podaży witaminy D.</w:t>
      </w:r>
    </w:p>
    <w:p w14:paraId="6F7D3822"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Prewencja złamań obejmuje wszystkich, także osoby z niskim ryzykiem złamań (&lt;5%). Zdrowy, aktywny ruchowo tryb życia, eliminacja używek, odpowiednia dieta, ograniczenie stosowania leków zwiększających ryzyko złamań, prewencja upadków i urazów, odpowiednia edukacja społeczeństwa stanowią podstawowy warunek ograniczenia ryzyka rozwoju osteoporozy i jej powikłań (WFO 2017).</w:t>
      </w:r>
    </w:p>
    <w:p w14:paraId="31DF5BE0"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W profilaktyce osteoporozy zaleca się ograniczenie spożycia alkoholu do maksymalnie 2 jednostek dziennie oraz zaprzestanie palenia papierosów (ICSI 2017, RACGP 2017, AACE/ACE 2016, EULAR/EFORT 2016, MCG 2016, SMS 2013, ESC 2012). Zwłaszcza u mężczyzn ESC 2012 zaleca ograniczenie picia alkoholu do ilości &lt;3-4 jednostek alkoholu (w przybliżeniu 1 litra piwa, mały kieliszek wina, jedna miarka mocnego alkoholu) dziennie.</w:t>
      </w:r>
    </w:p>
    <w:p w14:paraId="60D46D06" w14:textId="77777777"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USPSTF stwierdza, że obecne dowody są niewystarczające do oceny bilansu korzyści i szkód związanych z suplementacją witaminy D oraz wapniem (w odniesieniu zarówno do jednego, jak i połączenia obu suplementów) w profilaktyce pierwotnej złamań wśród mężczyzn oraz kobiet przed menopauzą mieszkających samodzielnie (USPSTF 2018c). Dodatkowo USPSTF 2018b nie rekomenduje suplementacji witaminą D w celu prewencji upadków wśród osób &gt;65. r.ż. mieszkających samodzielnie.</w:t>
      </w:r>
    </w:p>
    <w:p w14:paraId="4FB49077" w14:textId="7F290E0C" w:rsidR="00BA6588" w:rsidRPr="00BA6588" w:rsidRDefault="00BA6588" w:rsidP="00BA6588">
      <w:pPr>
        <w:pStyle w:val="Teksttreci0"/>
        <w:spacing w:line="276" w:lineRule="auto"/>
        <w:ind w:left="540"/>
        <w:jc w:val="both"/>
        <w:rPr>
          <w:rFonts w:ascii="Times New Roman" w:hAnsi="Times New Roman" w:cs="Times New Roman"/>
          <w:sz w:val="24"/>
          <w:szCs w:val="24"/>
        </w:rPr>
      </w:pPr>
      <w:r w:rsidRPr="00BA6588">
        <w:rPr>
          <w:rFonts w:ascii="Times New Roman" w:hAnsi="Times New Roman" w:cs="Times New Roman"/>
          <w:color w:val="000000"/>
          <w:sz w:val="24"/>
          <w:szCs w:val="24"/>
        </w:rPr>
        <w:t xml:space="preserve">W przypadku osób z osteoporozą lub zagrożonych jej wystąpieniem rekomenduje się wykonywanie regularnych ćwiczeń fizycznych, w tym przede wszystkim: obciążeniowych, </w:t>
      </w:r>
      <w:r w:rsidRPr="00BA6588">
        <w:rPr>
          <w:rFonts w:ascii="Times New Roman" w:hAnsi="Times New Roman" w:cs="Times New Roman"/>
          <w:color w:val="000000"/>
          <w:sz w:val="24"/>
          <w:szCs w:val="24"/>
        </w:rPr>
        <w:lastRenderedPageBreak/>
        <w:t>oporowych, poprawiających równowagę, a także wzmacniających siłę mięśniową, które będą dostosowane do indywidulanych potrzeb i możliwości pacjenta (NOGG 2017, RACGP 2017, SMS 2013, AACE/ACE 2016, CTFPHC 2010, 2013). NOGG 2017 i RACGP 2017 zaznaczają, że ćwiczenia obciążeniowe oraz na równowagę mają korzystny wpływ na BMD</w:t>
      </w:r>
      <w:r>
        <w:rPr>
          <w:rFonts w:ascii="Times New Roman" w:hAnsi="Times New Roman" w:cs="Times New Roman"/>
          <w:color w:val="000000"/>
          <w:sz w:val="24"/>
          <w:szCs w:val="24"/>
        </w:rPr>
        <w:t>.</w:t>
      </w:r>
    </w:p>
    <w:p w14:paraId="217ED6F2" w14:textId="3098B8D8" w:rsidR="00486624" w:rsidRPr="002A5BCA" w:rsidRDefault="00486624" w:rsidP="002A5BCA">
      <w:pPr>
        <w:pStyle w:val="Teksttreci40"/>
        <w:tabs>
          <w:tab w:val="left" w:pos="1150"/>
        </w:tabs>
        <w:spacing w:line="276" w:lineRule="auto"/>
        <w:jc w:val="both"/>
        <w:rPr>
          <w:b w:val="0"/>
          <w:bCs w:val="0"/>
          <w:color w:val="000000" w:themeColor="text1"/>
          <w:sz w:val="24"/>
          <w:szCs w:val="24"/>
        </w:rPr>
      </w:pPr>
      <w:r>
        <w:rPr>
          <w:b w:val="0"/>
          <w:bCs w:val="0"/>
          <w:sz w:val="24"/>
          <w:szCs w:val="24"/>
        </w:rPr>
        <w:tab/>
      </w:r>
    </w:p>
    <w:p w14:paraId="3A53C741" w14:textId="56955C7D" w:rsidR="00675644" w:rsidRDefault="00675644">
      <w:pPr>
        <w:pStyle w:val="Teksttreci40"/>
        <w:numPr>
          <w:ilvl w:val="0"/>
          <w:numId w:val="12"/>
        </w:numPr>
        <w:shd w:val="clear" w:color="auto" w:fill="auto"/>
        <w:tabs>
          <w:tab w:val="left" w:pos="1150"/>
        </w:tabs>
        <w:spacing w:line="276" w:lineRule="auto"/>
        <w:jc w:val="both"/>
        <w:rPr>
          <w:sz w:val="24"/>
          <w:szCs w:val="24"/>
        </w:rPr>
      </w:pPr>
      <w:r w:rsidRPr="00E066A1">
        <w:rPr>
          <w:sz w:val="24"/>
          <w:szCs w:val="24"/>
        </w:rPr>
        <w:t xml:space="preserve">Dane epidemiologiczne </w:t>
      </w:r>
    </w:p>
    <w:p w14:paraId="3B0A079E" w14:textId="0AD31AEF" w:rsidR="006557D1" w:rsidRDefault="006557D1" w:rsidP="006557D1">
      <w:pPr>
        <w:pStyle w:val="Teksttreci40"/>
        <w:shd w:val="clear" w:color="auto" w:fill="auto"/>
        <w:tabs>
          <w:tab w:val="left" w:pos="1150"/>
        </w:tabs>
        <w:spacing w:line="276" w:lineRule="auto"/>
        <w:ind w:firstLine="0"/>
        <w:jc w:val="both"/>
        <w:rPr>
          <w:sz w:val="24"/>
          <w:szCs w:val="24"/>
        </w:rPr>
      </w:pPr>
    </w:p>
    <w:p w14:paraId="061B5747" w14:textId="77777777" w:rsidR="00AD492D" w:rsidRPr="003C4135" w:rsidRDefault="00AD492D" w:rsidP="00AD492D">
      <w:pPr>
        <w:spacing w:line="360" w:lineRule="auto"/>
        <w:ind w:left="360"/>
        <w:jc w:val="both"/>
        <w:rPr>
          <w:rFonts w:ascii="Times New Roman" w:hAnsi="Times New Roman" w:cs="Times New Roman"/>
        </w:rPr>
      </w:pPr>
      <w:r w:rsidRPr="003C4135">
        <w:rPr>
          <w:rFonts w:ascii="Times New Roman" w:hAnsi="Times New Roman" w:cs="Times New Roman"/>
        </w:rPr>
        <w:t>Gmina Warta Bolesławiecka ma 8 511 mieszkańców, z czego 50,5% stanowią kobiety, a 49,5% mężczyźni. W latach 2002-2021 liczba mieszkańców wzrosła o 13,7%. Średni wiek mieszkańców wynosi 40,5 lat i jest nieznacznie mniejszy od średniego wieku mieszkańców województwa dolnośląskiego oraz nieznacznie mniejszy od średniego wieku mieszkańców całej Polski. W 2021 r. na terenie gminy mieszkało 4297 kobiet i 4214 mężczyzn. Średni wiek kobiet wynosi 41,8 lat, zaś mężczyzn 39,1 lat.</w:t>
      </w:r>
    </w:p>
    <w:p w14:paraId="61EFFEC8" w14:textId="77777777" w:rsidR="00AD492D" w:rsidRPr="003C4135" w:rsidRDefault="00AD492D" w:rsidP="00AD492D">
      <w:pPr>
        <w:jc w:val="center"/>
        <w:rPr>
          <w:rFonts w:ascii="Times New Roman" w:hAnsi="Times New Roman" w:cs="Times New Roman"/>
        </w:rPr>
      </w:pPr>
    </w:p>
    <w:tbl>
      <w:tblPr>
        <w:tblStyle w:val="Tabela-Siatka"/>
        <w:tblW w:w="0" w:type="auto"/>
        <w:jc w:val="center"/>
        <w:tblLook w:val="04A0" w:firstRow="1" w:lastRow="0" w:firstColumn="1" w:lastColumn="0" w:noHBand="0" w:noVBand="1"/>
      </w:tblPr>
      <w:tblGrid>
        <w:gridCol w:w="2477"/>
        <w:gridCol w:w="2568"/>
      </w:tblGrid>
      <w:tr w:rsidR="00AD492D" w:rsidRPr="003C4135" w14:paraId="55BF5ABA" w14:textId="77777777" w:rsidTr="008E16D9">
        <w:trPr>
          <w:jc w:val="center"/>
        </w:trPr>
        <w:tc>
          <w:tcPr>
            <w:tcW w:w="2477" w:type="dxa"/>
            <w:shd w:val="clear" w:color="auto" w:fill="EDEDED" w:themeFill="accent3" w:themeFillTint="33"/>
          </w:tcPr>
          <w:p w14:paraId="4F0E1D24" w14:textId="77777777" w:rsidR="00AD492D" w:rsidRPr="003C4135" w:rsidRDefault="00AD492D" w:rsidP="008E16D9">
            <w:pPr>
              <w:jc w:val="center"/>
              <w:rPr>
                <w:rFonts w:ascii="Times New Roman" w:hAnsi="Times New Roman" w:cs="Times New Roman"/>
                <w:b/>
              </w:rPr>
            </w:pPr>
            <w:r w:rsidRPr="003C4135">
              <w:rPr>
                <w:rFonts w:ascii="Times New Roman" w:hAnsi="Times New Roman" w:cs="Times New Roman"/>
                <w:b/>
              </w:rPr>
              <w:t>Wiek</w:t>
            </w:r>
          </w:p>
          <w:p w14:paraId="6B80C9CA" w14:textId="77777777" w:rsidR="00AD492D" w:rsidRPr="003C4135" w:rsidRDefault="00AD492D" w:rsidP="008E16D9">
            <w:pPr>
              <w:jc w:val="center"/>
              <w:rPr>
                <w:rFonts w:ascii="Times New Roman" w:hAnsi="Times New Roman" w:cs="Times New Roman"/>
                <w:b/>
              </w:rPr>
            </w:pPr>
          </w:p>
        </w:tc>
        <w:tc>
          <w:tcPr>
            <w:tcW w:w="2568" w:type="dxa"/>
            <w:shd w:val="clear" w:color="auto" w:fill="DEEAF6" w:themeFill="accent1" w:themeFillTint="33"/>
          </w:tcPr>
          <w:p w14:paraId="46CA30CF" w14:textId="2E946805" w:rsidR="00AD492D" w:rsidRPr="000D773B" w:rsidRDefault="00AD492D" w:rsidP="008E16D9">
            <w:pPr>
              <w:jc w:val="center"/>
              <w:rPr>
                <w:rFonts w:ascii="Times New Roman" w:hAnsi="Times New Roman" w:cs="Times New Roman"/>
                <w:b/>
              </w:rPr>
            </w:pPr>
            <w:r w:rsidRPr="000D773B">
              <w:rPr>
                <w:rFonts w:ascii="Times New Roman" w:hAnsi="Times New Roman" w:cs="Times New Roman"/>
                <w:b/>
              </w:rPr>
              <w:t>Gm</w:t>
            </w:r>
            <w:r w:rsidR="000D773B" w:rsidRPr="000D773B">
              <w:rPr>
                <w:rFonts w:ascii="Times New Roman" w:hAnsi="Times New Roman" w:cs="Times New Roman"/>
                <w:b/>
              </w:rPr>
              <w:t>ina</w:t>
            </w:r>
            <w:r w:rsidRPr="000D773B">
              <w:rPr>
                <w:rFonts w:ascii="Times New Roman" w:hAnsi="Times New Roman" w:cs="Times New Roman"/>
                <w:b/>
              </w:rPr>
              <w:t xml:space="preserve"> Warta Bolesławiec</w:t>
            </w:r>
            <w:r w:rsidR="000D773B" w:rsidRPr="000D773B">
              <w:rPr>
                <w:rFonts w:ascii="Times New Roman" w:hAnsi="Times New Roman" w:cs="Times New Roman"/>
                <w:b/>
              </w:rPr>
              <w:t>ka</w:t>
            </w:r>
          </w:p>
        </w:tc>
      </w:tr>
      <w:tr w:rsidR="00AD492D" w:rsidRPr="003C4135" w14:paraId="7A94196C" w14:textId="77777777" w:rsidTr="008E16D9">
        <w:trPr>
          <w:jc w:val="center"/>
        </w:trPr>
        <w:tc>
          <w:tcPr>
            <w:tcW w:w="2477" w:type="dxa"/>
            <w:shd w:val="clear" w:color="auto" w:fill="EDEDED" w:themeFill="accent3" w:themeFillTint="33"/>
          </w:tcPr>
          <w:p w14:paraId="29087022" w14:textId="77777777" w:rsidR="00AD492D" w:rsidRPr="003C4135" w:rsidRDefault="00AD492D" w:rsidP="008E16D9">
            <w:pPr>
              <w:jc w:val="center"/>
              <w:rPr>
                <w:rFonts w:ascii="Times New Roman" w:hAnsi="Times New Roman" w:cs="Times New Roman"/>
              </w:rPr>
            </w:pPr>
            <w:r w:rsidRPr="003C4135">
              <w:rPr>
                <w:rFonts w:ascii="Times New Roman" w:hAnsi="Times New Roman" w:cs="Times New Roman"/>
              </w:rPr>
              <w:t>kobiety 40-64</w:t>
            </w:r>
          </w:p>
          <w:p w14:paraId="43C284AB" w14:textId="77777777" w:rsidR="00AD492D" w:rsidRPr="003C4135" w:rsidRDefault="00AD492D" w:rsidP="008E16D9">
            <w:pPr>
              <w:jc w:val="center"/>
              <w:rPr>
                <w:rFonts w:ascii="Times New Roman" w:hAnsi="Times New Roman" w:cs="Times New Roman"/>
              </w:rPr>
            </w:pPr>
          </w:p>
        </w:tc>
        <w:tc>
          <w:tcPr>
            <w:tcW w:w="2568" w:type="dxa"/>
          </w:tcPr>
          <w:p w14:paraId="1868766E" w14:textId="77777777" w:rsidR="00AD492D" w:rsidRPr="003C4135" w:rsidRDefault="00AD492D" w:rsidP="008E16D9">
            <w:pPr>
              <w:jc w:val="center"/>
              <w:rPr>
                <w:rFonts w:ascii="Times New Roman" w:hAnsi="Times New Roman" w:cs="Times New Roman"/>
              </w:rPr>
            </w:pPr>
            <w:r w:rsidRPr="003C4135">
              <w:rPr>
                <w:rFonts w:ascii="Times New Roman" w:hAnsi="Times New Roman" w:cs="Times New Roman"/>
              </w:rPr>
              <w:t>1543</w:t>
            </w:r>
          </w:p>
        </w:tc>
      </w:tr>
      <w:tr w:rsidR="00AD492D" w:rsidRPr="003C4135" w14:paraId="2BAEC5F5" w14:textId="77777777" w:rsidTr="008E16D9">
        <w:trPr>
          <w:jc w:val="center"/>
        </w:trPr>
        <w:tc>
          <w:tcPr>
            <w:tcW w:w="2477" w:type="dxa"/>
            <w:shd w:val="clear" w:color="auto" w:fill="EDEDED" w:themeFill="accent3" w:themeFillTint="33"/>
          </w:tcPr>
          <w:p w14:paraId="1EA03EAB" w14:textId="77777777" w:rsidR="00AD492D" w:rsidRPr="003C4135" w:rsidRDefault="00AD492D" w:rsidP="008E16D9">
            <w:pPr>
              <w:jc w:val="center"/>
              <w:rPr>
                <w:rFonts w:ascii="Times New Roman" w:hAnsi="Times New Roman" w:cs="Times New Roman"/>
              </w:rPr>
            </w:pPr>
            <w:r w:rsidRPr="003C4135">
              <w:rPr>
                <w:rFonts w:ascii="Times New Roman" w:hAnsi="Times New Roman" w:cs="Times New Roman"/>
              </w:rPr>
              <w:t>kobiety 65+</w:t>
            </w:r>
          </w:p>
          <w:p w14:paraId="0490F879" w14:textId="77777777" w:rsidR="00AD492D" w:rsidRPr="003C4135" w:rsidRDefault="00AD492D" w:rsidP="008E16D9">
            <w:pPr>
              <w:jc w:val="center"/>
              <w:rPr>
                <w:rFonts w:ascii="Times New Roman" w:hAnsi="Times New Roman" w:cs="Times New Roman"/>
              </w:rPr>
            </w:pPr>
          </w:p>
        </w:tc>
        <w:tc>
          <w:tcPr>
            <w:tcW w:w="2568" w:type="dxa"/>
          </w:tcPr>
          <w:p w14:paraId="4898DEF9" w14:textId="77777777" w:rsidR="00AD492D" w:rsidRPr="003C4135" w:rsidRDefault="00AD492D" w:rsidP="008E16D9">
            <w:pPr>
              <w:jc w:val="center"/>
              <w:rPr>
                <w:rFonts w:ascii="Times New Roman" w:hAnsi="Times New Roman" w:cs="Times New Roman"/>
              </w:rPr>
            </w:pPr>
            <w:r w:rsidRPr="003C4135">
              <w:rPr>
                <w:rFonts w:ascii="Times New Roman" w:hAnsi="Times New Roman" w:cs="Times New Roman"/>
              </w:rPr>
              <w:t>768</w:t>
            </w:r>
          </w:p>
        </w:tc>
      </w:tr>
      <w:tr w:rsidR="00AD492D" w:rsidRPr="003C4135" w14:paraId="5CA9B7B1" w14:textId="77777777" w:rsidTr="008E16D9">
        <w:trPr>
          <w:jc w:val="center"/>
        </w:trPr>
        <w:tc>
          <w:tcPr>
            <w:tcW w:w="2477" w:type="dxa"/>
            <w:shd w:val="clear" w:color="auto" w:fill="EDEDED" w:themeFill="accent3" w:themeFillTint="33"/>
          </w:tcPr>
          <w:p w14:paraId="6AED1720" w14:textId="77777777" w:rsidR="00AD492D" w:rsidRPr="003C4135" w:rsidRDefault="00AD492D" w:rsidP="008E16D9">
            <w:pPr>
              <w:jc w:val="center"/>
              <w:rPr>
                <w:rFonts w:ascii="Times New Roman" w:hAnsi="Times New Roman" w:cs="Times New Roman"/>
              </w:rPr>
            </w:pPr>
            <w:r w:rsidRPr="003C4135">
              <w:rPr>
                <w:rFonts w:ascii="Times New Roman" w:hAnsi="Times New Roman" w:cs="Times New Roman"/>
              </w:rPr>
              <w:t>mężczyźni  75+</w:t>
            </w:r>
          </w:p>
          <w:p w14:paraId="249D1FA3" w14:textId="77777777" w:rsidR="00AD492D" w:rsidRPr="003C4135" w:rsidRDefault="00AD492D" w:rsidP="008E16D9">
            <w:pPr>
              <w:jc w:val="center"/>
              <w:rPr>
                <w:rFonts w:ascii="Times New Roman" w:hAnsi="Times New Roman" w:cs="Times New Roman"/>
              </w:rPr>
            </w:pPr>
          </w:p>
        </w:tc>
        <w:tc>
          <w:tcPr>
            <w:tcW w:w="2568" w:type="dxa"/>
          </w:tcPr>
          <w:p w14:paraId="3AD3712E" w14:textId="77777777" w:rsidR="00AD492D" w:rsidRPr="003C4135" w:rsidRDefault="00AD492D" w:rsidP="008E16D9">
            <w:pPr>
              <w:jc w:val="center"/>
              <w:rPr>
                <w:rFonts w:ascii="Times New Roman" w:hAnsi="Times New Roman" w:cs="Times New Roman"/>
              </w:rPr>
            </w:pPr>
            <w:r w:rsidRPr="003C4135">
              <w:rPr>
                <w:rFonts w:ascii="Times New Roman" w:hAnsi="Times New Roman" w:cs="Times New Roman"/>
              </w:rPr>
              <w:t>128</w:t>
            </w:r>
          </w:p>
        </w:tc>
      </w:tr>
    </w:tbl>
    <w:p w14:paraId="225E2F05" w14:textId="77777777" w:rsidR="0010511D" w:rsidRDefault="0010511D" w:rsidP="0010511D">
      <w:pPr>
        <w:jc w:val="center"/>
      </w:pPr>
    </w:p>
    <w:p w14:paraId="123E85C5" w14:textId="77777777" w:rsidR="0010511D" w:rsidRDefault="0010511D" w:rsidP="0010511D">
      <w:pPr>
        <w:jc w:val="center"/>
      </w:pPr>
    </w:p>
    <w:p w14:paraId="039E9DD4" w14:textId="5BCD6ACA" w:rsidR="0010511D" w:rsidRDefault="00AD492D" w:rsidP="0010511D">
      <w:pPr>
        <w:jc w:val="center"/>
      </w:pPr>
      <w:r>
        <w:rPr>
          <w:noProof/>
          <w:lang w:bidi="ar-SA"/>
        </w:rPr>
        <w:drawing>
          <wp:inline distT="0" distB="0" distL="0" distR="0" wp14:anchorId="678989E3" wp14:editId="10A66DC2">
            <wp:extent cx="5901690" cy="30422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1690" cy="3042285"/>
                    </a:xfrm>
                    <a:prstGeom prst="rect">
                      <a:avLst/>
                    </a:prstGeom>
                    <a:noFill/>
                  </pic:spPr>
                </pic:pic>
              </a:graphicData>
            </a:graphic>
          </wp:inline>
        </w:drawing>
      </w:r>
    </w:p>
    <w:p w14:paraId="04FA9328" w14:textId="77777777" w:rsidR="0010511D" w:rsidRDefault="0010511D" w:rsidP="0010511D">
      <w:pPr>
        <w:jc w:val="center"/>
      </w:pPr>
    </w:p>
    <w:p w14:paraId="6CE4F9EC" w14:textId="2754D722" w:rsidR="006557D1" w:rsidRDefault="006557D1" w:rsidP="006557D1">
      <w:pPr>
        <w:pStyle w:val="Teksttreci40"/>
        <w:shd w:val="clear" w:color="auto" w:fill="auto"/>
        <w:tabs>
          <w:tab w:val="left" w:pos="1150"/>
        </w:tabs>
        <w:spacing w:line="276" w:lineRule="auto"/>
        <w:ind w:firstLine="0"/>
        <w:jc w:val="both"/>
        <w:rPr>
          <w:sz w:val="24"/>
          <w:szCs w:val="24"/>
        </w:rPr>
      </w:pPr>
    </w:p>
    <w:p w14:paraId="7CCE0BB0" w14:textId="346A758D" w:rsidR="006557D1" w:rsidRPr="000D1374" w:rsidRDefault="006557D1" w:rsidP="006557D1">
      <w:pPr>
        <w:pStyle w:val="Teksttreci40"/>
        <w:shd w:val="clear" w:color="auto" w:fill="auto"/>
        <w:tabs>
          <w:tab w:val="left" w:pos="1150"/>
        </w:tabs>
        <w:spacing w:line="276" w:lineRule="auto"/>
        <w:ind w:firstLine="0"/>
        <w:jc w:val="both"/>
        <w:rPr>
          <w:b w:val="0"/>
          <w:bCs w:val="0"/>
          <w:sz w:val="24"/>
          <w:szCs w:val="24"/>
        </w:rPr>
      </w:pPr>
      <w:r w:rsidRPr="000D1374">
        <w:rPr>
          <w:b w:val="0"/>
          <w:bCs w:val="0"/>
          <w:sz w:val="24"/>
          <w:szCs w:val="24"/>
        </w:rPr>
        <w:t>Biorąc pod uwagę poniższą statystykę, w której</w:t>
      </w:r>
      <w:r w:rsidR="000D1374" w:rsidRPr="000D1374">
        <w:rPr>
          <w:b w:val="0"/>
          <w:bCs w:val="0"/>
          <w:sz w:val="24"/>
          <w:szCs w:val="24"/>
        </w:rPr>
        <w:t xml:space="preserve"> przypada 1 071 złamań na 100 tys. ludności powyżej 50. roku życia (woj. dolnośląskie)</w:t>
      </w:r>
      <w:r w:rsidRPr="000D1374">
        <w:rPr>
          <w:b w:val="0"/>
          <w:bCs w:val="0"/>
          <w:sz w:val="24"/>
          <w:szCs w:val="24"/>
        </w:rPr>
        <w:t xml:space="preserve">  prawdopodobieństwo zachorowania populacji w gminie</w:t>
      </w:r>
      <w:r w:rsidR="000D1374">
        <w:rPr>
          <w:b w:val="0"/>
          <w:bCs w:val="0"/>
          <w:sz w:val="24"/>
          <w:szCs w:val="24"/>
        </w:rPr>
        <w:t xml:space="preserve"> wynosi</w:t>
      </w:r>
      <w:r w:rsidRPr="000D1374">
        <w:rPr>
          <w:b w:val="0"/>
          <w:bCs w:val="0"/>
          <w:sz w:val="24"/>
          <w:szCs w:val="24"/>
        </w:rPr>
        <w:t xml:space="preserve"> </w:t>
      </w:r>
      <w:r w:rsidR="000D1374" w:rsidRPr="000D1374">
        <w:rPr>
          <w:b w:val="0"/>
          <w:bCs w:val="0"/>
          <w:sz w:val="24"/>
          <w:szCs w:val="24"/>
        </w:rPr>
        <w:t xml:space="preserve">1,07 %. </w:t>
      </w:r>
      <w:r w:rsidRPr="000D1374">
        <w:rPr>
          <w:b w:val="0"/>
          <w:bCs w:val="0"/>
          <w:sz w:val="24"/>
          <w:szCs w:val="24"/>
        </w:rPr>
        <w:t xml:space="preserve"> </w:t>
      </w:r>
    </w:p>
    <w:p w14:paraId="34926599" w14:textId="6F5067B6" w:rsidR="000828D1" w:rsidRDefault="000828D1" w:rsidP="00E066A1">
      <w:pPr>
        <w:pStyle w:val="Teksttreci40"/>
        <w:shd w:val="clear" w:color="auto" w:fill="auto"/>
        <w:tabs>
          <w:tab w:val="left" w:pos="1150"/>
        </w:tabs>
        <w:spacing w:line="276" w:lineRule="auto"/>
        <w:ind w:left="720" w:firstLine="0"/>
        <w:jc w:val="both"/>
        <w:rPr>
          <w:rStyle w:val="Hipercze"/>
          <w:b w:val="0"/>
          <w:bCs w:val="0"/>
          <w:sz w:val="24"/>
          <w:szCs w:val="24"/>
        </w:rPr>
      </w:pPr>
    </w:p>
    <w:p w14:paraId="45702B70" w14:textId="1E1CEBF8" w:rsidR="006557D1" w:rsidRPr="000828D1" w:rsidRDefault="006557D1" w:rsidP="006557D1">
      <w:pPr>
        <w:jc w:val="both"/>
        <w:rPr>
          <w:rFonts w:ascii="Times New Roman" w:hAnsi="Times New Roman" w:cs="Times New Roman"/>
        </w:rPr>
      </w:pPr>
      <w:r w:rsidRPr="000828D1">
        <w:rPr>
          <w:rFonts w:ascii="Times New Roman" w:hAnsi="Times New Roman" w:cs="Times New Roman"/>
        </w:rPr>
        <w:t>Na podstawie po</w:t>
      </w:r>
      <w:r>
        <w:rPr>
          <w:rFonts w:ascii="Times New Roman" w:hAnsi="Times New Roman" w:cs="Times New Roman"/>
        </w:rPr>
        <w:t>niższego</w:t>
      </w:r>
      <w:r w:rsidRPr="000828D1">
        <w:rPr>
          <w:rFonts w:ascii="Times New Roman" w:hAnsi="Times New Roman" w:cs="Times New Roman"/>
        </w:rPr>
        <w:t xml:space="preserve"> – liczba porad zwiększa się wraz z wiekiem (dane dla województwa).</w:t>
      </w:r>
      <w:r>
        <w:rPr>
          <w:rFonts w:ascii="Times New Roman" w:hAnsi="Times New Roman" w:cs="Times New Roman"/>
        </w:rPr>
        <w:t xml:space="preserve"> </w:t>
      </w:r>
      <w:r w:rsidRPr="000828D1">
        <w:rPr>
          <w:rFonts w:ascii="Times New Roman" w:hAnsi="Times New Roman" w:cs="Times New Roman"/>
        </w:rPr>
        <w:t>Można spodziewać się wzmożonego zapotrzebowania na powyższe, ze względu na starzejące się społeczeństwo.</w:t>
      </w:r>
    </w:p>
    <w:p w14:paraId="7B3F49D7" w14:textId="77777777" w:rsidR="006557D1" w:rsidRPr="000828D1" w:rsidRDefault="006557D1" w:rsidP="006557D1">
      <w:pPr>
        <w:jc w:val="both"/>
        <w:rPr>
          <w:rFonts w:ascii="Times New Roman" w:hAnsi="Times New Roman" w:cs="Times New Roman"/>
        </w:rPr>
      </w:pPr>
      <w:r w:rsidRPr="000828D1">
        <w:rPr>
          <w:rFonts w:ascii="Times New Roman" w:hAnsi="Times New Roman" w:cs="Times New Roman"/>
        </w:rPr>
        <w:t>W woj. dolnośląskim zauważa się niski wskaźnik poradni w przeliczeniu na liczbę mieszkańców.</w:t>
      </w:r>
    </w:p>
    <w:p w14:paraId="4600BB5C" w14:textId="77777777" w:rsidR="006557D1" w:rsidRPr="000828D1" w:rsidRDefault="006557D1" w:rsidP="006557D1">
      <w:pPr>
        <w:jc w:val="both"/>
        <w:rPr>
          <w:rFonts w:ascii="Times New Roman" w:hAnsi="Times New Roman" w:cs="Times New Roman"/>
        </w:rPr>
      </w:pPr>
    </w:p>
    <w:p w14:paraId="252094CF" w14:textId="77777777" w:rsidR="006557D1" w:rsidRDefault="006557D1" w:rsidP="006557D1">
      <w:pPr>
        <w:jc w:val="both"/>
      </w:pPr>
      <w:r w:rsidRPr="000828D1">
        <w:rPr>
          <w:rFonts w:ascii="Times New Roman" w:hAnsi="Times New Roman" w:cs="Times New Roman"/>
        </w:rPr>
        <w:t>Starzejące się społeczeństwo i związany z wiekiem wzrost liczby osób ze schorzeniami kostnostawowymi oraz pacjentów z urazami wpływa na wzrost zapotrzebowania na świadczenia z zakresu osteoporozy</w:t>
      </w:r>
      <w:r>
        <w:t>.</w:t>
      </w:r>
    </w:p>
    <w:p w14:paraId="7AA795BE" w14:textId="0A289822" w:rsidR="000828D1" w:rsidRDefault="000828D1" w:rsidP="006557D1">
      <w:pPr>
        <w:pStyle w:val="Teksttreci40"/>
        <w:shd w:val="clear" w:color="auto" w:fill="auto"/>
        <w:tabs>
          <w:tab w:val="left" w:pos="1150"/>
        </w:tabs>
        <w:spacing w:line="276" w:lineRule="auto"/>
        <w:ind w:firstLine="0"/>
        <w:jc w:val="both"/>
        <w:rPr>
          <w:rStyle w:val="Hipercze"/>
          <w:b w:val="0"/>
          <w:bCs w:val="0"/>
          <w:sz w:val="24"/>
          <w:szCs w:val="24"/>
        </w:rPr>
      </w:pPr>
    </w:p>
    <w:p w14:paraId="0C570802" w14:textId="77777777" w:rsidR="000828D1" w:rsidRDefault="000828D1" w:rsidP="000828D1">
      <w:r>
        <w:rPr>
          <w:noProof/>
          <w:lang w:bidi="ar-SA"/>
        </w:rPr>
        <w:drawing>
          <wp:inline distT="0" distB="0" distL="0" distR="0" wp14:anchorId="4DA4E0FE" wp14:editId="49585B59">
            <wp:extent cx="5760720" cy="2171700"/>
            <wp:effectExtent l="19050" t="0" r="0" b="0"/>
            <wp:docPr id="1" name="Obraz 0" descr="ost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eo.jpg"/>
                    <pic:cNvPicPr/>
                  </pic:nvPicPr>
                  <pic:blipFill>
                    <a:blip r:embed="rId10" cstate="print"/>
                    <a:stretch>
                      <a:fillRect/>
                    </a:stretch>
                  </pic:blipFill>
                  <pic:spPr>
                    <a:xfrm>
                      <a:off x="0" y="0"/>
                      <a:ext cx="5760720" cy="2171700"/>
                    </a:xfrm>
                    <a:prstGeom prst="rect">
                      <a:avLst/>
                    </a:prstGeom>
                  </pic:spPr>
                </pic:pic>
              </a:graphicData>
            </a:graphic>
          </wp:inline>
        </w:drawing>
      </w:r>
    </w:p>
    <w:p w14:paraId="01DAE044" w14:textId="77777777" w:rsidR="000828D1" w:rsidRDefault="000828D1" w:rsidP="000828D1"/>
    <w:p w14:paraId="44DA3245" w14:textId="77777777" w:rsidR="000828D1" w:rsidRDefault="000828D1" w:rsidP="000828D1">
      <w:r>
        <w:rPr>
          <w:noProof/>
          <w:lang w:bidi="ar-SA"/>
        </w:rPr>
        <w:drawing>
          <wp:inline distT="0" distB="0" distL="0" distR="0" wp14:anchorId="5DB52E76" wp14:editId="0AC44980">
            <wp:extent cx="5760720" cy="3044190"/>
            <wp:effectExtent l="19050" t="0" r="0" b="0"/>
            <wp:docPr id="2" name="Obraz 1" descr="oste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eo2.jpg"/>
                    <pic:cNvPicPr/>
                  </pic:nvPicPr>
                  <pic:blipFill>
                    <a:blip r:embed="rId11" cstate="print"/>
                    <a:stretch>
                      <a:fillRect/>
                    </a:stretch>
                  </pic:blipFill>
                  <pic:spPr>
                    <a:xfrm>
                      <a:off x="0" y="0"/>
                      <a:ext cx="5760720" cy="3044190"/>
                    </a:xfrm>
                    <a:prstGeom prst="rect">
                      <a:avLst/>
                    </a:prstGeom>
                  </pic:spPr>
                </pic:pic>
              </a:graphicData>
            </a:graphic>
          </wp:inline>
        </w:drawing>
      </w:r>
    </w:p>
    <w:p w14:paraId="5FF2C4DD" w14:textId="77777777" w:rsidR="000828D1" w:rsidRDefault="000828D1" w:rsidP="000828D1"/>
    <w:p w14:paraId="7F7741C6" w14:textId="77777777" w:rsidR="000828D1" w:rsidRDefault="000828D1" w:rsidP="0010511D">
      <w:pPr>
        <w:jc w:val="center"/>
      </w:pPr>
      <w:r>
        <w:rPr>
          <w:noProof/>
          <w:lang w:bidi="ar-SA"/>
        </w:rPr>
        <w:lastRenderedPageBreak/>
        <w:drawing>
          <wp:inline distT="0" distB="0" distL="0" distR="0" wp14:anchorId="274464CE" wp14:editId="11BFE7E4">
            <wp:extent cx="5232423" cy="2037715"/>
            <wp:effectExtent l="0" t="0" r="0" b="0"/>
            <wp:docPr id="4" name="Obraz 3" descr="oste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eo3.jpg"/>
                    <pic:cNvPicPr/>
                  </pic:nvPicPr>
                  <pic:blipFill>
                    <a:blip r:embed="rId12" cstate="print"/>
                    <a:stretch>
                      <a:fillRect/>
                    </a:stretch>
                  </pic:blipFill>
                  <pic:spPr>
                    <a:xfrm>
                      <a:off x="0" y="0"/>
                      <a:ext cx="5232423" cy="2037715"/>
                    </a:xfrm>
                    <a:prstGeom prst="rect">
                      <a:avLst/>
                    </a:prstGeom>
                  </pic:spPr>
                </pic:pic>
              </a:graphicData>
            </a:graphic>
          </wp:inline>
        </w:drawing>
      </w:r>
    </w:p>
    <w:p w14:paraId="1D2353ED" w14:textId="77777777" w:rsidR="000828D1" w:rsidRDefault="000828D1" w:rsidP="000828D1"/>
    <w:p w14:paraId="6F575C79" w14:textId="77777777" w:rsidR="000828D1" w:rsidRPr="000828D1" w:rsidRDefault="000828D1" w:rsidP="000828D1">
      <w:pPr>
        <w:jc w:val="both"/>
        <w:rPr>
          <w:rFonts w:ascii="Times New Roman" w:hAnsi="Times New Roman" w:cs="Times New Roman"/>
        </w:rPr>
      </w:pPr>
      <w:r w:rsidRPr="000828D1">
        <w:rPr>
          <w:rFonts w:ascii="Times New Roman" w:hAnsi="Times New Roman" w:cs="Times New Roman"/>
        </w:rPr>
        <w:t>Zgodnie z powyższym (dla województwa dolnośląskiego) usługi z zakresu poradni endokrynologicznej osteoporozy charakteryzują się jednym z najdłuższych okresów oczekiwania (840 dni).</w:t>
      </w:r>
    </w:p>
    <w:p w14:paraId="058382B3" w14:textId="77777777" w:rsidR="000828D1" w:rsidRPr="000828D1" w:rsidRDefault="000828D1" w:rsidP="000828D1">
      <w:pPr>
        <w:jc w:val="both"/>
        <w:rPr>
          <w:rFonts w:ascii="Times New Roman" w:hAnsi="Times New Roman" w:cs="Times New Roman"/>
        </w:rPr>
      </w:pPr>
    </w:p>
    <w:p w14:paraId="2139C081" w14:textId="77777777" w:rsidR="000828D1" w:rsidRPr="000828D1" w:rsidRDefault="000828D1" w:rsidP="000828D1">
      <w:pPr>
        <w:jc w:val="both"/>
        <w:rPr>
          <w:rFonts w:ascii="Times New Roman" w:hAnsi="Times New Roman" w:cs="Times New Roman"/>
        </w:rPr>
      </w:pPr>
      <w:r w:rsidRPr="000828D1">
        <w:rPr>
          <w:rFonts w:ascii="Times New Roman" w:hAnsi="Times New Roman" w:cs="Times New Roman"/>
        </w:rPr>
        <w:t>Osteoporoza jest to choroba układu kostnego, objawiająca się ubytkiem masy kostnej i zaburzeniami budowy kości. Powyższe zmiany prowadzą do osłabienia wytrzymałości kośćca i w następstwie do złamań pod wpływem nawet niewielkich urazów. Osteoporoza staje się obecnie coraz większym problemem ochrony zdrowia w krajach wysokorozwiniętych ze względu na starzejące się społeczeństwo. Złamania osteoporotyczne często prowadzą do inwalidztwa pacjentów, znacząco obniżają ich jakość życia a niekiedy prowadzą nawet do zgonu. Jest to choroba powszechna, objawiająca się z reguły po 50 roku życia, częściej dotycząca kobiet niż mężczyzn.</w:t>
      </w:r>
    </w:p>
    <w:p w14:paraId="348AEF29" w14:textId="77777777" w:rsidR="000828D1" w:rsidRPr="000828D1" w:rsidRDefault="000828D1" w:rsidP="000828D1">
      <w:pPr>
        <w:jc w:val="both"/>
        <w:rPr>
          <w:rFonts w:ascii="Times New Roman" w:hAnsi="Times New Roman" w:cs="Times New Roman"/>
        </w:rPr>
      </w:pPr>
    </w:p>
    <w:p w14:paraId="5105C61E" w14:textId="77777777" w:rsidR="000828D1" w:rsidRPr="000828D1" w:rsidRDefault="000828D1" w:rsidP="000828D1">
      <w:pPr>
        <w:jc w:val="both"/>
        <w:rPr>
          <w:rFonts w:ascii="Times New Roman" w:hAnsi="Times New Roman" w:cs="Times New Roman"/>
        </w:rPr>
      </w:pPr>
      <w:r w:rsidRPr="000828D1">
        <w:rPr>
          <w:rFonts w:ascii="Times New Roman" w:hAnsi="Times New Roman" w:cs="Times New Roman"/>
        </w:rPr>
        <w:t xml:space="preserve">W Polsce w 2018 roku na 100 tys. ludności powyżej 50. roku życia przypadały 882 złamania. </w:t>
      </w:r>
    </w:p>
    <w:p w14:paraId="658E5F03" w14:textId="386391BF" w:rsidR="000828D1" w:rsidRDefault="000828D1" w:rsidP="000828D1">
      <w:pPr>
        <w:jc w:val="both"/>
        <w:rPr>
          <w:rFonts w:ascii="Times New Roman" w:hAnsi="Times New Roman" w:cs="Times New Roman"/>
        </w:rPr>
      </w:pPr>
      <w:r w:rsidRPr="000828D1">
        <w:rPr>
          <w:rFonts w:ascii="Times New Roman" w:hAnsi="Times New Roman" w:cs="Times New Roman"/>
        </w:rPr>
        <w:t>Wskaźnik ten był zróżnicowany między województwami (Wykres 4.1). Wahał się</w:t>
      </w:r>
      <w:r w:rsidR="00D34CDE">
        <w:rPr>
          <w:rFonts w:ascii="Times New Roman" w:hAnsi="Times New Roman" w:cs="Times New Roman"/>
        </w:rPr>
        <w:t xml:space="preserve"> </w:t>
      </w:r>
      <w:r w:rsidRPr="000828D1">
        <w:rPr>
          <w:rFonts w:ascii="Times New Roman" w:hAnsi="Times New Roman" w:cs="Times New Roman"/>
        </w:rPr>
        <w:t>on od 734 złamań na 100 tys. ludności powyżej 50. roku życia (woj. wielkopolskie) do</w:t>
      </w:r>
      <w:r w:rsidR="000D1374">
        <w:rPr>
          <w:rFonts w:ascii="Times New Roman" w:hAnsi="Times New Roman" w:cs="Times New Roman"/>
        </w:rPr>
        <w:t xml:space="preserve"> </w:t>
      </w:r>
      <w:r w:rsidRPr="000828D1">
        <w:rPr>
          <w:rFonts w:ascii="Times New Roman" w:hAnsi="Times New Roman" w:cs="Times New Roman"/>
        </w:rPr>
        <w:t>1 071 złamań na 100 tys. ludności powyżej</w:t>
      </w:r>
      <w:r w:rsidR="00D34CDE">
        <w:rPr>
          <w:rFonts w:ascii="Times New Roman" w:hAnsi="Times New Roman" w:cs="Times New Roman"/>
        </w:rPr>
        <w:t xml:space="preserve"> </w:t>
      </w:r>
      <w:r w:rsidRPr="000828D1">
        <w:rPr>
          <w:rFonts w:ascii="Times New Roman" w:hAnsi="Times New Roman" w:cs="Times New Roman"/>
        </w:rPr>
        <w:t>50. roku życia (woj. dolnośląskie). Po standaryzacji ze względu na strukturę demograficzną najwyższym wskaźnikiem charakteryzowało się województwo dolnośląskie—1</w:t>
      </w:r>
      <w:r w:rsidR="000D1374">
        <w:rPr>
          <w:rFonts w:ascii="Times New Roman" w:hAnsi="Times New Roman" w:cs="Times New Roman"/>
        </w:rPr>
        <w:t> </w:t>
      </w:r>
      <w:r w:rsidRPr="000828D1">
        <w:rPr>
          <w:rFonts w:ascii="Times New Roman" w:hAnsi="Times New Roman" w:cs="Times New Roman"/>
        </w:rPr>
        <w:t>063</w:t>
      </w:r>
      <w:r w:rsidR="000D1374">
        <w:rPr>
          <w:rFonts w:ascii="Times New Roman" w:hAnsi="Times New Roman" w:cs="Times New Roman"/>
        </w:rPr>
        <w:t xml:space="preserve"> </w:t>
      </w:r>
      <w:r w:rsidRPr="000828D1">
        <w:rPr>
          <w:rFonts w:ascii="Times New Roman" w:hAnsi="Times New Roman" w:cs="Times New Roman"/>
        </w:rPr>
        <w:t>złamań na 100 tys. ludności zaś najniższym województwo łódzkie—735 złamań na 100 tys. ludności. Najmniejszą liczbą złamań przypadającą na 100 tys. ludności powyżej 50. Roku życia cechował się powiat starogardzki (370),zaś największą Jelenia Góra (1 387).</w:t>
      </w:r>
    </w:p>
    <w:p w14:paraId="21DFE86F" w14:textId="77777777" w:rsidR="000828D1" w:rsidRDefault="000828D1" w:rsidP="0010511D">
      <w:pPr>
        <w:jc w:val="center"/>
      </w:pPr>
      <w:r>
        <w:rPr>
          <w:noProof/>
          <w:lang w:bidi="ar-SA"/>
        </w:rPr>
        <w:drawing>
          <wp:inline distT="0" distB="0" distL="0" distR="0" wp14:anchorId="631BFA55" wp14:editId="55C24D00">
            <wp:extent cx="4498683" cy="2871183"/>
            <wp:effectExtent l="0" t="0" r="0" b="0"/>
            <wp:docPr id="5" name="Obraz 4" descr="oste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eo4.jpg"/>
                    <pic:cNvPicPr/>
                  </pic:nvPicPr>
                  <pic:blipFill>
                    <a:blip r:embed="rId13" cstate="print"/>
                    <a:stretch>
                      <a:fillRect/>
                    </a:stretch>
                  </pic:blipFill>
                  <pic:spPr>
                    <a:xfrm>
                      <a:off x="0" y="0"/>
                      <a:ext cx="4542295" cy="2899017"/>
                    </a:xfrm>
                    <a:prstGeom prst="rect">
                      <a:avLst/>
                    </a:prstGeom>
                  </pic:spPr>
                </pic:pic>
              </a:graphicData>
            </a:graphic>
          </wp:inline>
        </w:drawing>
      </w:r>
    </w:p>
    <w:p w14:paraId="25E4A4D8" w14:textId="77777777" w:rsidR="000828D1" w:rsidRDefault="000828D1" w:rsidP="000828D1"/>
    <w:p w14:paraId="4F94C6FD" w14:textId="77777777" w:rsidR="000828D1" w:rsidRPr="000828D1" w:rsidRDefault="000828D1" w:rsidP="000828D1">
      <w:pPr>
        <w:jc w:val="both"/>
        <w:rPr>
          <w:rFonts w:ascii="Times New Roman" w:hAnsi="Times New Roman" w:cs="Times New Roman"/>
        </w:rPr>
      </w:pPr>
      <w:r w:rsidRPr="000828D1">
        <w:rPr>
          <w:rFonts w:ascii="Times New Roman" w:hAnsi="Times New Roman" w:cs="Times New Roman"/>
        </w:rPr>
        <w:lastRenderedPageBreak/>
        <w:t>Najczęściej stosowanym badaniem diagnostycznym do pomiaru gęstości kości jest dwufotonowa absorpcjometria (densytometria z kości udowej lub kręgosłupa, dalej DXA) (Blake i Fogelman,2007). Jako wykonanie procedury zostało przyjęte sprawozdanie świadczenia z wykonaną</w:t>
      </w:r>
    </w:p>
    <w:p w14:paraId="19A2AD8E" w14:textId="77777777" w:rsidR="000828D1" w:rsidRPr="000828D1" w:rsidRDefault="000828D1" w:rsidP="000828D1">
      <w:pPr>
        <w:jc w:val="both"/>
        <w:rPr>
          <w:rFonts w:ascii="Times New Roman" w:hAnsi="Times New Roman" w:cs="Times New Roman"/>
        </w:rPr>
      </w:pPr>
      <w:r w:rsidRPr="000828D1">
        <w:rPr>
          <w:rFonts w:ascii="Times New Roman" w:hAnsi="Times New Roman" w:cs="Times New Roman"/>
        </w:rPr>
        <w:t>procedurą 88.981 (wg Międzynarodowej Klasyfikacji Procedur Medycznych ICD-9).</w:t>
      </w:r>
    </w:p>
    <w:p w14:paraId="10E8EBAB" w14:textId="77777777" w:rsidR="000828D1" w:rsidRDefault="000828D1" w:rsidP="000828D1">
      <w:pPr>
        <w:jc w:val="both"/>
      </w:pPr>
    </w:p>
    <w:p w14:paraId="52A5B2BF" w14:textId="2ECA0428" w:rsidR="000828D1" w:rsidRDefault="000828D1" w:rsidP="000828D1">
      <w:pPr>
        <w:jc w:val="both"/>
      </w:pPr>
    </w:p>
    <w:p w14:paraId="39C728FF" w14:textId="58761294" w:rsidR="000828D1" w:rsidRDefault="002A5BCA" w:rsidP="000828D1">
      <w:pPr>
        <w:jc w:val="both"/>
      </w:pPr>
      <w:r>
        <w:rPr>
          <w:noProof/>
          <w:lang w:bidi="ar-SA"/>
        </w:rPr>
        <w:drawing>
          <wp:inline distT="0" distB="0" distL="0" distR="0" wp14:anchorId="44B39EB8" wp14:editId="0614C719">
            <wp:extent cx="5033010" cy="4061027"/>
            <wp:effectExtent l="0" t="0" r="0" b="0"/>
            <wp:docPr id="6" name="Obraz 5" descr="oste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eo5.jpg"/>
                    <pic:cNvPicPr/>
                  </pic:nvPicPr>
                  <pic:blipFill>
                    <a:blip r:embed="rId14" cstate="print"/>
                    <a:stretch>
                      <a:fillRect/>
                    </a:stretch>
                  </pic:blipFill>
                  <pic:spPr>
                    <a:xfrm>
                      <a:off x="0" y="0"/>
                      <a:ext cx="5038646" cy="4065574"/>
                    </a:xfrm>
                    <a:prstGeom prst="rect">
                      <a:avLst/>
                    </a:prstGeom>
                  </pic:spPr>
                </pic:pic>
              </a:graphicData>
            </a:graphic>
          </wp:inline>
        </w:drawing>
      </w:r>
    </w:p>
    <w:p w14:paraId="287C8FC9" w14:textId="6DF7FEB2" w:rsidR="000828D1" w:rsidRDefault="000828D1" w:rsidP="000828D1">
      <w:pPr>
        <w:jc w:val="both"/>
        <w:rPr>
          <w:rFonts w:ascii="Times New Roman" w:hAnsi="Times New Roman" w:cs="Times New Roman"/>
        </w:rPr>
      </w:pPr>
      <w:r w:rsidRPr="000828D1">
        <w:rPr>
          <w:rFonts w:ascii="Times New Roman" w:hAnsi="Times New Roman" w:cs="Times New Roman"/>
        </w:rPr>
        <w:t xml:space="preserve">Z powyższych danych (NFZ) wynika, że liczba wykonanych badań DXA w województwie </w:t>
      </w:r>
      <w:r w:rsidR="002A5BCA">
        <w:rPr>
          <w:rFonts w:ascii="Times New Roman" w:hAnsi="Times New Roman" w:cs="Times New Roman"/>
        </w:rPr>
        <w:br/>
      </w:r>
      <w:r w:rsidRPr="000828D1">
        <w:rPr>
          <w:rFonts w:ascii="Times New Roman" w:hAnsi="Times New Roman" w:cs="Times New Roman"/>
        </w:rPr>
        <w:t>w kontekście całego kraju jest niewystarczająca i oczekuje się zwiększenia jego zastosowania.</w:t>
      </w:r>
    </w:p>
    <w:p w14:paraId="0ABA5690" w14:textId="26B779ED" w:rsidR="00B636E1" w:rsidRPr="00B636E1" w:rsidRDefault="00B636E1" w:rsidP="00B636E1">
      <w:pPr>
        <w:spacing w:line="276" w:lineRule="auto"/>
        <w:jc w:val="both"/>
        <w:rPr>
          <w:rFonts w:ascii="Times New Roman" w:hAnsi="Times New Roman" w:cs="Times New Roman"/>
        </w:rPr>
      </w:pPr>
      <w:r>
        <w:br/>
      </w:r>
      <w:r w:rsidRPr="00B636E1">
        <w:rPr>
          <w:rFonts w:ascii="Times New Roman" w:hAnsi="Times New Roman" w:cs="Times New Roman"/>
        </w:rPr>
        <w:t>W okresie 2013-2015 w województwie dolnośląskim stwierdzono 129 zgonów z powodu chorób układu kostno-mięśniowego, z których 59,7% dotyczyło osób w wieku 65 lat i starszych, 23,3% zmarłych stanowili mężczyźni. Współczynnik rzeczywisty umieralności z powodu tych chorób w województwie dolnośląskim wynosił 1,5/100 tys. ludności i był na poziomie ogólnopolskim. Ta wartość współczynnika plasuje województwo na 8. miejscu w Polsce, licząc od województwa o najwyższej wartości. Poziom umieralności mężczyzn jest</w:t>
      </w:r>
      <w:r>
        <w:rPr>
          <w:rFonts w:ascii="Times New Roman" w:hAnsi="Times New Roman" w:cs="Times New Roman"/>
        </w:rPr>
        <w:t xml:space="preserve"> </w:t>
      </w:r>
      <w:r w:rsidRPr="00B636E1">
        <w:rPr>
          <w:rFonts w:ascii="Times New Roman" w:hAnsi="Times New Roman" w:cs="Times New Roman"/>
        </w:rPr>
        <w:t>niższy niż w kraju o 12,5%, natomiast kobiet jest wyższy o 4,8%. Współczynnik rzeczywisty umieralności mężczyzn plasował województwo na 12. miejscu, kobiet na 8., licząc od wartości najwyższych. Po wyeliminowaniu różnic w strukturze wieku mieszkańców województwa i Polski (wskaźnik SMR) zagrożenie życia mieszkańców województwa chorobami z tej grupy jest niższe od ogólnopolskiego o 4,8%. Wartość SMR</w:t>
      </w:r>
      <w:r>
        <w:rPr>
          <w:rFonts w:ascii="Times New Roman" w:hAnsi="Times New Roman" w:cs="Times New Roman"/>
        </w:rPr>
        <w:t xml:space="preserve"> </w:t>
      </w:r>
      <w:r w:rsidRPr="00B636E1">
        <w:rPr>
          <w:rFonts w:ascii="Times New Roman" w:hAnsi="Times New Roman" w:cs="Times New Roman"/>
        </w:rPr>
        <w:t xml:space="preserve">w województwie dolnośląskim plasuje je na 9. miejscu w Polsce, licząc od województwa o najwyższej wartości. Wśród mężczyzn wskaźnik SMR jest niższy o 16,2% od ogólnopolskiego, wśród kobiet jest niższy o 0,7%. Wartości wskaźników SMR wśród mężczyzn i kobiet są na miejscach odpowiednio 13. i 9., licząc od najwyższych wartości. </w:t>
      </w:r>
    </w:p>
    <w:p w14:paraId="5260F870" w14:textId="5128CED2" w:rsidR="000828D1" w:rsidRDefault="000828D1" w:rsidP="00E066A1">
      <w:pPr>
        <w:pStyle w:val="Teksttreci40"/>
        <w:shd w:val="clear" w:color="auto" w:fill="auto"/>
        <w:tabs>
          <w:tab w:val="left" w:pos="1150"/>
        </w:tabs>
        <w:spacing w:line="276" w:lineRule="auto"/>
        <w:ind w:left="720" w:firstLine="0"/>
        <w:jc w:val="both"/>
        <w:rPr>
          <w:b w:val="0"/>
          <w:bCs w:val="0"/>
          <w:color w:val="FF0000"/>
          <w:sz w:val="24"/>
          <w:szCs w:val="24"/>
        </w:rPr>
      </w:pPr>
    </w:p>
    <w:p w14:paraId="25933DEF" w14:textId="77777777" w:rsidR="002A5BCA" w:rsidRPr="00E066A1" w:rsidRDefault="002A5BCA" w:rsidP="00E066A1">
      <w:pPr>
        <w:pStyle w:val="Teksttreci40"/>
        <w:shd w:val="clear" w:color="auto" w:fill="auto"/>
        <w:tabs>
          <w:tab w:val="left" w:pos="1150"/>
        </w:tabs>
        <w:spacing w:line="276" w:lineRule="auto"/>
        <w:ind w:left="720" w:firstLine="0"/>
        <w:jc w:val="both"/>
        <w:rPr>
          <w:b w:val="0"/>
          <w:bCs w:val="0"/>
          <w:color w:val="FF0000"/>
          <w:sz w:val="24"/>
          <w:szCs w:val="24"/>
        </w:rPr>
      </w:pPr>
    </w:p>
    <w:p w14:paraId="51882051" w14:textId="2A3A07F6" w:rsidR="00675644" w:rsidRPr="00E066A1" w:rsidRDefault="00675644">
      <w:pPr>
        <w:pStyle w:val="Teksttreci40"/>
        <w:numPr>
          <w:ilvl w:val="0"/>
          <w:numId w:val="12"/>
        </w:numPr>
        <w:shd w:val="clear" w:color="auto" w:fill="auto"/>
        <w:tabs>
          <w:tab w:val="left" w:pos="1150"/>
        </w:tabs>
        <w:spacing w:line="276" w:lineRule="auto"/>
        <w:jc w:val="both"/>
        <w:rPr>
          <w:color w:val="FF0000"/>
          <w:sz w:val="24"/>
          <w:szCs w:val="24"/>
        </w:rPr>
      </w:pPr>
      <w:r w:rsidRPr="00E066A1">
        <w:rPr>
          <w:sz w:val="24"/>
          <w:szCs w:val="24"/>
        </w:rPr>
        <w:lastRenderedPageBreak/>
        <w:t>Opis obecnego postępowania</w:t>
      </w:r>
    </w:p>
    <w:p w14:paraId="0F504249" w14:textId="621E26FC" w:rsidR="00675644" w:rsidRPr="00B636E1" w:rsidRDefault="00675644" w:rsidP="00B636E1">
      <w:pPr>
        <w:pStyle w:val="Teksttreci40"/>
        <w:tabs>
          <w:tab w:val="left" w:pos="1150"/>
        </w:tabs>
        <w:spacing w:line="276" w:lineRule="auto"/>
        <w:jc w:val="both"/>
        <w:rPr>
          <w:b w:val="0"/>
          <w:bCs w:val="0"/>
          <w:color w:val="000000" w:themeColor="text1"/>
          <w:sz w:val="24"/>
          <w:szCs w:val="24"/>
        </w:rPr>
      </w:pPr>
      <w:r w:rsidRPr="00E066A1">
        <w:rPr>
          <w:color w:val="000000" w:themeColor="text1"/>
          <w:sz w:val="24"/>
          <w:szCs w:val="24"/>
        </w:rPr>
        <w:tab/>
      </w:r>
      <w:r w:rsidR="00CE5F32" w:rsidRPr="00CE5F32">
        <w:rPr>
          <w:rStyle w:val="markedcontent"/>
          <w:b w:val="0"/>
          <w:bCs w:val="0"/>
          <w:sz w:val="24"/>
          <w:szCs w:val="24"/>
        </w:rPr>
        <w:t>Leczenie osteoporozy polega przede wszystkim na minimalizowaniu ryzyka złamań. Odpowiednio dobrane leki hamują proces niszczenia kości i wspomagają odbudowę ich struktury. Pacjentom podaje się także wapń i witaminę D, a w niektórych przypadkach ustala się nową dietę i zaleca zmianę stylu życia.</w:t>
      </w:r>
    </w:p>
    <w:p w14:paraId="0F0BC4C3" w14:textId="77777777" w:rsidR="00675644" w:rsidRPr="00E066A1" w:rsidRDefault="00675644" w:rsidP="00E066A1">
      <w:pPr>
        <w:pStyle w:val="Teksttreci40"/>
        <w:shd w:val="clear" w:color="auto" w:fill="auto"/>
        <w:tabs>
          <w:tab w:val="left" w:pos="1150"/>
        </w:tabs>
        <w:spacing w:line="276" w:lineRule="auto"/>
        <w:ind w:left="720" w:firstLine="0"/>
        <w:jc w:val="both"/>
        <w:rPr>
          <w:b w:val="0"/>
          <w:bCs w:val="0"/>
          <w:color w:val="FF0000"/>
          <w:sz w:val="24"/>
          <w:szCs w:val="24"/>
        </w:rPr>
      </w:pPr>
    </w:p>
    <w:p w14:paraId="172E138A" w14:textId="77777777" w:rsidR="00E61ADA" w:rsidRPr="00E066A1" w:rsidRDefault="00545639">
      <w:pPr>
        <w:pStyle w:val="Teksttreci40"/>
        <w:numPr>
          <w:ilvl w:val="0"/>
          <w:numId w:val="9"/>
        </w:numPr>
        <w:shd w:val="clear" w:color="auto" w:fill="auto"/>
        <w:tabs>
          <w:tab w:val="left" w:pos="1150"/>
        </w:tabs>
        <w:spacing w:line="276" w:lineRule="auto"/>
        <w:ind w:left="284" w:hanging="284"/>
        <w:jc w:val="both"/>
        <w:rPr>
          <w:sz w:val="24"/>
          <w:szCs w:val="24"/>
        </w:rPr>
      </w:pPr>
      <w:r w:rsidRPr="00E066A1">
        <w:rPr>
          <w:sz w:val="24"/>
          <w:szCs w:val="24"/>
        </w:rPr>
        <w:t>Cele programu polityki zdrowotnej i mierniki efektywności jego realizacji</w:t>
      </w:r>
    </w:p>
    <w:p w14:paraId="612CCA63" w14:textId="0E5D12C8" w:rsidR="00544AC9" w:rsidRPr="00E066A1" w:rsidRDefault="00544AC9" w:rsidP="00E066A1">
      <w:pPr>
        <w:pStyle w:val="Teksttreci20"/>
        <w:shd w:val="clear" w:color="auto" w:fill="auto"/>
        <w:tabs>
          <w:tab w:val="left" w:pos="949"/>
        </w:tabs>
        <w:spacing w:line="276" w:lineRule="auto"/>
        <w:ind w:firstLine="0"/>
        <w:rPr>
          <w:sz w:val="24"/>
          <w:szCs w:val="24"/>
        </w:rPr>
      </w:pPr>
    </w:p>
    <w:p w14:paraId="00014421" w14:textId="2F113570" w:rsidR="00544AC9" w:rsidRPr="00E066A1" w:rsidRDefault="009D0331" w:rsidP="00E066A1">
      <w:pPr>
        <w:pStyle w:val="Teksttreci20"/>
        <w:tabs>
          <w:tab w:val="left" w:pos="949"/>
        </w:tabs>
        <w:spacing w:line="276" w:lineRule="auto"/>
        <w:ind w:firstLine="0"/>
        <w:rPr>
          <w:b/>
          <w:bCs/>
          <w:color w:val="auto"/>
          <w:sz w:val="24"/>
          <w:szCs w:val="24"/>
        </w:rPr>
      </w:pPr>
      <w:r w:rsidRPr="00E066A1">
        <w:rPr>
          <w:b/>
          <w:bCs/>
          <w:color w:val="auto"/>
          <w:sz w:val="24"/>
          <w:szCs w:val="24"/>
        </w:rPr>
        <w:t xml:space="preserve">II.1 </w:t>
      </w:r>
      <w:r w:rsidR="00544AC9" w:rsidRPr="00E066A1">
        <w:rPr>
          <w:b/>
          <w:bCs/>
          <w:color w:val="auto"/>
          <w:sz w:val="24"/>
          <w:szCs w:val="24"/>
        </w:rPr>
        <w:t>Cel główny</w:t>
      </w:r>
    </w:p>
    <w:p w14:paraId="559DB9EA" w14:textId="29C39DF2" w:rsidR="009D0331" w:rsidRDefault="00544AC9" w:rsidP="00E066A1">
      <w:pPr>
        <w:pStyle w:val="Teksttreci20"/>
        <w:tabs>
          <w:tab w:val="left" w:pos="949"/>
        </w:tabs>
        <w:spacing w:line="276" w:lineRule="auto"/>
        <w:ind w:left="284" w:firstLine="4"/>
        <w:rPr>
          <w:color w:val="auto"/>
          <w:sz w:val="24"/>
          <w:szCs w:val="24"/>
        </w:rPr>
      </w:pPr>
      <w:r w:rsidRPr="00E066A1">
        <w:rPr>
          <w:color w:val="auto"/>
          <w:sz w:val="24"/>
          <w:szCs w:val="24"/>
        </w:rPr>
        <w:t xml:space="preserve">Uzyskanie </w:t>
      </w:r>
      <w:r w:rsidR="00AC27DA">
        <w:rPr>
          <w:color w:val="auto"/>
          <w:sz w:val="24"/>
          <w:szCs w:val="24"/>
        </w:rPr>
        <w:t>oraz</w:t>
      </w:r>
      <w:r w:rsidRPr="00E066A1">
        <w:rPr>
          <w:color w:val="auto"/>
          <w:sz w:val="24"/>
          <w:szCs w:val="24"/>
        </w:rPr>
        <w:t xml:space="preserve"> utrzymanie wysokiego poziomu wiedzy z zakresu profilaktyki osteoporozy oraz</w:t>
      </w:r>
      <w:r w:rsidR="009D0331" w:rsidRPr="00E066A1">
        <w:rPr>
          <w:color w:val="auto"/>
          <w:sz w:val="24"/>
          <w:szCs w:val="24"/>
        </w:rPr>
        <w:t xml:space="preserve"> </w:t>
      </w:r>
      <w:r w:rsidRPr="00E066A1">
        <w:rPr>
          <w:color w:val="auto"/>
          <w:sz w:val="24"/>
          <w:szCs w:val="24"/>
        </w:rPr>
        <w:t>zapobiegania złamaniom osteoporotycznym, obejmującej zagadnienia teoretyczne i praktyczne, wśród</w:t>
      </w:r>
      <w:r w:rsidR="009D0331" w:rsidRPr="00E066A1">
        <w:rPr>
          <w:color w:val="auto"/>
          <w:sz w:val="24"/>
          <w:szCs w:val="24"/>
        </w:rPr>
        <w:t xml:space="preserve"> </w:t>
      </w:r>
      <w:r w:rsidR="0010511D">
        <w:rPr>
          <w:color w:val="auto"/>
          <w:sz w:val="24"/>
          <w:szCs w:val="24"/>
        </w:rPr>
        <w:t xml:space="preserve">50 % </w:t>
      </w:r>
      <w:r w:rsidRPr="0010511D">
        <w:rPr>
          <w:color w:val="auto"/>
          <w:sz w:val="24"/>
          <w:szCs w:val="24"/>
        </w:rPr>
        <w:t>uczestników</w:t>
      </w:r>
      <w:r w:rsidR="0010511D" w:rsidRPr="0010511D">
        <w:rPr>
          <w:color w:val="auto"/>
          <w:sz w:val="24"/>
          <w:szCs w:val="24"/>
        </w:rPr>
        <w:t xml:space="preserve"> </w:t>
      </w:r>
      <w:r w:rsidRPr="0010511D">
        <w:rPr>
          <w:color w:val="auto"/>
          <w:sz w:val="24"/>
          <w:szCs w:val="24"/>
        </w:rPr>
        <w:t>programu.</w:t>
      </w:r>
    </w:p>
    <w:p w14:paraId="77CBFFFA" w14:textId="77777777" w:rsidR="004927BB" w:rsidRPr="00E066A1" w:rsidRDefault="004927BB" w:rsidP="00E066A1">
      <w:pPr>
        <w:pStyle w:val="Teksttreci20"/>
        <w:tabs>
          <w:tab w:val="left" w:pos="949"/>
        </w:tabs>
        <w:spacing w:line="276" w:lineRule="auto"/>
        <w:ind w:left="284" w:firstLine="4"/>
        <w:rPr>
          <w:color w:val="auto"/>
          <w:sz w:val="24"/>
          <w:szCs w:val="24"/>
        </w:rPr>
      </w:pPr>
    </w:p>
    <w:p w14:paraId="77195A88" w14:textId="5A4A309C" w:rsidR="009D0331" w:rsidRPr="00E066A1" w:rsidRDefault="009D0331" w:rsidP="00E066A1">
      <w:pPr>
        <w:pStyle w:val="Teksttreci20"/>
        <w:tabs>
          <w:tab w:val="left" w:pos="949"/>
        </w:tabs>
        <w:spacing w:line="276" w:lineRule="auto"/>
        <w:ind w:firstLine="0"/>
        <w:rPr>
          <w:b/>
          <w:bCs/>
          <w:color w:val="auto"/>
          <w:sz w:val="24"/>
          <w:szCs w:val="24"/>
        </w:rPr>
      </w:pPr>
      <w:r w:rsidRPr="00E066A1">
        <w:rPr>
          <w:b/>
          <w:bCs/>
          <w:color w:val="auto"/>
          <w:sz w:val="24"/>
          <w:szCs w:val="24"/>
        </w:rPr>
        <w:t xml:space="preserve">II. 2 Cel szczegółowy </w:t>
      </w:r>
    </w:p>
    <w:p w14:paraId="5E6C2D34" w14:textId="11997B8E" w:rsidR="00492627" w:rsidRDefault="009D0331" w:rsidP="00492627">
      <w:pPr>
        <w:pStyle w:val="Teksttreci20"/>
        <w:tabs>
          <w:tab w:val="left" w:pos="949"/>
        </w:tabs>
        <w:spacing w:line="276" w:lineRule="auto"/>
        <w:ind w:left="284" w:hanging="284"/>
        <w:rPr>
          <w:color w:val="auto"/>
          <w:sz w:val="24"/>
          <w:szCs w:val="24"/>
        </w:rPr>
      </w:pPr>
      <w:r w:rsidRPr="00E066A1">
        <w:rPr>
          <w:color w:val="1F4E79" w:themeColor="accent1" w:themeShade="80"/>
          <w:sz w:val="24"/>
          <w:szCs w:val="24"/>
        </w:rPr>
        <w:tab/>
      </w:r>
      <w:bookmarkStart w:id="42" w:name="_Hlk125616613"/>
      <w:r w:rsidR="00544AC9" w:rsidRPr="00E066A1">
        <w:rPr>
          <w:color w:val="auto"/>
          <w:sz w:val="24"/>
          <w:szCs w:val="24"/>
        </w:rPr>
        <w:t xml:space="preserve">Uzyskanie </w:t>
      </w:r>
      <w:r w:rsidR="00AC27DA">
        <w:rPr>
          <w:color w:val="auto"/>
          <w:sz w:val="24"/>
          <w:szCs w:val="24"/>
        </w:rPr>
        <w:t>oraz</w:t>
      </w:r>
      <w:r w:rsidR="00544AC9" w:rsidRPr="00E066A1">
        <w:rPr>
          <w:color w:val="auto"/>
          <w:sz w:val="24"/>
          <w:szCs w:val="24"/>
        </w:rPr>
        <w:t xml:space="preserve"> utrzymanie wysokiego poziomu wiedzy teoretycznej i praktycznej wśród</w:t>
      </w:r>
      <w:r w:rsidR="0010511D">
        <w:rPr>
          <w:color w:val="auto"/>
          <w:sz w:val="24"/>
          <w:szCs w:val="24"/>
        </w:rPr>
        <w:t xml:space="preserve"> </w:t>
      </w:r>
      <w:r w:rsidR="004927BB">
        <w:rPr>
          <w:color w:val="auto"/>
          <w:sz w:val="24"/>
          <w:szCs w:val="24"/>
        </w:rPr>
        <w:t xml:space="preserve"> </w:t>
      </w:r>
      <w:r w:rsidR="00544AC9" w:rsidRPr="0010511D">
        <w:rPr>
          <w:color w:val="auto"/>
          <w:sz w:val="24"/>
          <w:szCs w:val="24"/>
        </w:rPr>
        <w:t>personelu medycznego</w:t>
      </w:r>
      <w:r w:rsidR="00AC27DA" w:rsidRPr="0010511D">
        <w:rPr>
          <w:color w:val="auto"/>
          <w:sz w:val="24"/>
          <w:szCs w:val="24"/>
        </w:rPr>
        <w:t xml:space="preserve"> </w:t>
      </w:r>
      <w:r w:rsidR="00544AC9" w:rsidRPr="0010511D">
        <w:rPr>
          <w:color w:val="auto"/>
          <w:sz w:val="24"/>
          <w:szCs w:val="24"/>
        </w:rPr>
        <w:t>w zakresie profilaktyki pierwotnej, diagnozowania, różnicowania i leczenia</w:t>
      </w:r>
      <w:r w:rsidR="00544AC9" w:rsidRPr="00E066A1">
        <w:rPr>
          <w:color w:val="auto"/>
          <w:sz w:val="24"/>
          <w:szCs w:val="24"/>
        </w:rPr>
        <w:t xml:space="preserve"> osteoporozy oraz zapobiegania złamaniom osteoporotycznym i upadkom.</w:t>
      </w:r>
      <w:r w:rsidR="004927BB">
        <w:rPr>
          <w:color w:val="auto"/>
          <w:sz w:val="24"/>
          <w:szCs w:val="24"/>
        </w:rPr>
        <w:t xml:space="preserve"> </w:t>
      </w:r>
      <w:r w:rsidR="00544AC9" w:rsidRPr="00E066A1">
        <w:rPr>
          <w:color w:val="auto"/>
          <w:sz w:val="24"/>
          <w:szCs w:val="24"/>
        </w:rPr>
        <w:t xml:space="preserve">Uzyskanie </w:t>
      </w:r>
      <w:r w:rsidR="00AC27DA">
        <w:rPr>
          <w:color w:val="auto"/>
          <w:sz w:val="24"/>
          <w:szCs w:val="24"/>
        </w:rPr>
        <w:t>oraz</w:t>
      </w:r>
      <w:r w:rsidR="00544AC9" w:rsidRPr="00E066A1">
        <w:rPr>
          <w:color w:val="auto"/>
          <w:sz w:val="24"/>
          <w:szCs w:val="24"/>
        </w:rPr>
        <w:t xml:space="preserve"> utrzymanie wysokiego poziomu wiedzy teoretycznej i praktycznej wśród</w:t>
      </w:r>
      <w:r w:rsidR="00492627">
        <w:rPr>
          <w:color w:val="auto"/>
          <w:sz w:val="24"/>
          <w:szCs w:val="24"/>
        </w:rPr>
        <w:t xml:space="preserve"> </w:t>
      </w:r>
      <w:r w:rsidR="0010511D" w:rsidRPr="0010511D">
        <w:rPr>
          <w:color w:val="auto"/>
          <w:sz w:val="24"/>
          <w:szCs w:val="24"/>
        </w:rPr>
        <w:t>50</w:t>
      </w:r>
      <w:r w:rsidR="00D561DF" w:rsidRPr="0010511D">
        <w:rPr>
          <w:color w:val="auto"/>
          <w:sz w:val="24"/>
          <w:szCs w:val="24"/>
        </w:rPr>
        <w:t xml:space="preserve"> </w:t>
      </w:r>
      <w:r w:rsidR="00544AC9" w:rsidRPr="0010511D">
        <w:rPr>
          <w:color w:val="auto"/>
          <w:sz w:val="24"/>
          <w:szCs w:val="24"/>
        </w:rPr>
        <w:t>%</w:t>
      </w:r>
      <w:r w:rsidR="004927BB">
        <w:rPr>
          <w:color w:val="auto"/>
          <w:sz w:val="24"/>
          <w:szCs w:val="24"/>
        </w:rPr>
        <w:t xml:space="preserve"> </w:t>
      </w:r>
      <w:r w:rsidR="0010511D">
        <w:rPr>
          <w:color w:val="auto"/>
          <w:sz w:val="24"/>
          <w:szCs w:val="24"/>
        </w:rPr>
        <w:t xml:space="preserve"> </w:t>
      </w:r>
      <w:r w:rsidR="00544AC9" w:rsidRPr="00E066A1">
        <w:rPr>
          <w:color w:val="auto"/>
          <w:sz w:val="24"/>
          <w:szCs w:val="24"/>
        </w:rPr>
        <w:t>świadczeniobiorców w zakresie profilaktyki pierwotnej osteoporozy, zapobiegania upadkom oraz postępowania w sytuacji podwyższonego zagrożenia złamaniami osteoporotycznymi.</w:t>
      </w:r>
      <w:r w:rsidR="00492627">
        <w:rPr>
          <w:color w:val="auto"/>
          <w:sz w:val="24"/>
          <w:szCs w:val="24"/>
        </w:rPr>
        <w:t xml:space="preserve"> Obj</w:t>
      </w:r>
      <w:r w:rsidR="000D773B">
        <w:rPr>
          <w:color w:val="auto"/>
          <w:sz w:val="24"/>
          <w:szCs w:val="24"/>
        </w:rPr>
        <w:t>ę</w:t>
      </w:r>
      <w:r w:rsidR="00492627">
        <w:rPr>
          <w:color w:val="auto"/>
          <w:sz w:val="24"/>
          <w:szCs w:val="24"/>
        </w:rPr>
        <w:t>cie kompleksową interwencją tj. łącznie działaniami informacyjno-edukacyjnymi oraz ocen</w:t>
      </w:r>
      <w:r w:rsidR="000D773B">
        <w:rPr>
          <w:color w:val="auto"/>
          <w:sz w:val="24"/>
          <w:szCs w:val="24"/>
        </w:rPr>
        <w:t>ą</w:t>
      </w:r>
      <w:r w:rsidR="00492627">
        <w:rPr>
          <w:color w:val="auto"/>
          <w:sz w:val="24"/>
          <w:szCs w:val="24"/>
        </w:rPr>
        <w:t xml:space="preserve"> ryzyka wystąpienia poważnych złamań osteoporotycznych z użyciem narzędzi FRAX w ramach programu </w:t>
      </w:r>
      <w:r w:rsidR="000D773B">
        <w:rPr>
          <w:color w:val="auto"/>
          <w:sz w:val="24"/>
          <w:szCs w:val="24"/>
        </w:rPr>
        <w:t xml:space="preserve"> </w:t>
      </w:r>
      <w:r w:rsidR="00492627">
        <w:rPr>
          <w:color w:val="auto"/>
          <w:sz w:val="24"/>
          <w:szCs w:val="24"/>
        </w:rPr>
        <w:t xml:space="preserve"> </w:t>
      </w:r>
      <w:r w:rsidR="000D773B">
        <w:rPr>
          <w:color w:val="auto"/>
          <w:sz w:val="24"/>
          <w:szCs w:val="24"/>
        </w:rPr>
        <w:t>populacji</w:t>
      </w:r>
      <w:r w:rsidR="00492627">
        <w:rPr>
          <w:color w:val="auto"/>
          <w:sz w:val="24"/>
          <w:szCs w:val="24"/>
        </w:rPr>
        <w:t xml:space="preserve"> </w:t>
      </w:r>
      <w:r w:rsidR="0023113B">
        <w:rPr>
          <w:color w:val="auto"/>
          <w:sz w:val="24"/>
          <w:szCs w:val="24"/>
        </w:rPr>
        <w:t>50</w:t>
      </w:r>
      <w:r w:rsidR="00492627">
        <w:rPr>
          <w:color w:val="auto"/>
          <w:sz w:val="24"/>
          <w:szCs w:val="24"/>
        </w:rPr>
        <w:t xml:space="preserve">% kobiet powyżej 65 roku </w:t>
      </w:r>
      <w:r w:rsidR="0023113B">
        <w:rPr>
          <w:color w:val="auto"/>
          <w:sz w:val="24"/>
          <w:szCs w:val="24"/>
        </w:rPr>
        <w:t>życia</w:t>
      </w:r>
      <w:r w:rsidR="00492627">
        <w:rPr>
          <w:color w:val="auto"/>
          <w:sz w:val="24"/>
          <w:szCs w:val="24"/>
        </w:rPr>
        <w:t xml:space="preserve"> mieszkających na terenie gminy</w:t>
      </w:r>
      <w:r w:rsidR="0023113B">
        <w:rPr>
          <w:color w:val="auto"/>
          <w:sz w:val="24"/>
          <w:szCs w:val="24"/>
        </w:rPr>
        <w:t xml:space="preserve"> </w:t>
      </w:r>
      <w:r w:rsidR="000D773B">
        <w:rPr>
          <w:color w:val="auto"/>
          <w:sz w:val="24"/>
          <w:szCs w:val="24"/>
        </w:rPr>
        <w:t xml:space="preserve">Warta Bolesławiecka </w:t>
      </w:r>
      <w:r w:rsidR="0023113B">
        <w:rPr>
          <w:color w:val="auto"/>
          <w:sz w:val="24"/>
          <w:szCs w:val="24"/>
        </w:rPr>
        <w:t xml:space="preserve">oraz 45% kobiet w przedziale wiekowym 40-64 lat. </w:t>
      </w:r>
      <w:r w:rsidR="00492627">
        <w:rPr>
          <w:color w:val="auto"/>
          <w:sz w:val="24"/>
          <w:szCs w:val="24"/>
        </w:rPr>
        <w:t>Obj</w:t>
      </w:r>
      <w:r w:rsidR="000D773B">
        <w:rPr>
          <w:color w:val="auto"/>
          <w:sz w:val="24"/>
          <w:szCs w:val="24"/>
        </w:rPr>
        <w:t>ę</w:t>
      </w:r>
      <w:r w:rsidR="00492627">
        <w:rPr>
          <w:color w:val="auto"/>
          <w:sz w:val="24"/>
          <w:szCs w:val="24"/>
        </w:rPr>
        <w:t>cie kompleksową interwencją tj. łącznie działaniami informacyjno-edukacyjnymi oraz ocen</w:t>
      </w:r>
      <w:r w:rsidR="000D773B">
        <w:rPr>
          <w:color w:val="auto"/>
          <w:sz w:val="24"/>
          <w:szCs w:val="24"/>
        </w:rPr>
        <w:t>ą</w:t>
      </w:r>
      <w:r w:rsidR="00492627">
        <w:rPr>
          <w:color w:val="auto"/>
          <w:sz w:val="24"/>
          <w:szCs w:val="24"/>
        </w:rPr>
        <w:t xml:space="preserve"> ryzyka wystąpienia poważnych złamań osteoporotycznych z użyciem narzędzi FRAX w ramach programu wśród 35 % mężczyzn powyżej 75 roku życia mieszkających na terenie gminy, przy założeniu, iż kompleksową opieką zostało objętych min. 30% kobiet powyżej 65 roku życia oraz środki nie zostały wykorzystane w całości.  </w:t>
      </w:r>
    </w:p>
    <w:bookmarkEnd w:id="42"/>
    <w:p w14:paraId="28E3A022" w14:textId="770F1900" w:rsidR="00492627" w:rsidRDefault="00492627" w:rsidP="00492627">
      <w:pPr>
        <w:pStyle w:val="Teksttreci20"/>
        <w:tabs>
          <w:tab w:val="left" w:pos="949"/>
        </w:tabs>
        <w:spacing w:line="276" w:lineRule="auto"/>
        <w:ind w:left="284" w:hanging="284"/>
        <w:rPr>
          <w:color w:val="auto"/>
          <w:sz w:val="24"/>
          <w:szCs w:val="24"/>
        </w:rPr>
      </w:pPr>
    </w:p>
    <w:p w14:paraId="65026F5B" w14:textId="77777777" w:rsidR="004927BB" w:rsidRPr="00E066A1" w:rsidRDefault="004927BB" w:rsidP="004927BB">
      <w:pPr>
        <w:pStyle w:val="Teksttreci20"/>
        <w:tabs>
          <w:tab w:val="left" w:pos="949"/>
        </w:tabs>
        <w:spacing w:line="276" w:lineRule="auto"/>
        <w:ind w:left="284" w:hanging="284"/>
        <w:rPr>
          <w:color w:val="auto"/>
          <w:sz w:val="24"/>
          <w:szCs w:val="24"/>
        </w:rPr>
      </w:pPr>
    </w:p>
    <w:p w14:paraId="5C3A254F" w14:textId="52060988" w:rsidR="009D0331" w:rsidRPr="00E066A1" w:rsidRDefault="009D0331" w:rsidP="00E066A1">
      <w:pPr>
        <w:pStyle w:val="Teksttreci20"/>
        <w:tabs>
          <w:tab w:val="left" w:pos="949"/>
        </w:tabs>
        <w:spacing w:line="276" w:lineRule="auto"/>
        <w:ind w:firstLine="0"/>
        <w:rPr>
          <w:b/>
          <w:bCs/>
          <w:color w:val="auto"/>
          <w:sz w:val="24"/>
          <w:szCs w:val="24"/>
        </w:rPr>
      </w:pPr>
      <w:r w:rsidRPr="00E066A1">
        <w:rPr>
          <w:color w:val="auto"/>
          <w:sz w:val="24"/>
          <w:szCs w:val="24"/>
        </w:rPr>
        <w:t xml:space="preserve"> </w:t>
      </w:r>
      <w:r w:rsidRPr="00E066A1">
        <w:rPr>
          <w:b/>
          <w:bCs/>
          <w:color w:val="auto"/>
          <w:sz w:val="24"/>
          <w:szCs w:val="24"/>
        </w:rPr>
        <w:t xml:space="preserve">II.3 Mierniki efektywności realizacji programu polityki zdrowotnej </w:t>
      </w:r>
    </w:p>
    <w:p w14:paraId="7F11EAEE" w14:textId="77777777" w:rsidR="004927BB" w:rsidRDefault="009D0331" w:rsidP="004927BB">
      <w:pPr>
        <w:pStyle w:val="Teksttreci20"/>
        <w:tabs>
          <w:tab w:val="left" w:pos="949"/>
        </w:tabs>
        <w:spacing w:line="276" w:lineRule="auto"/>
        <w:ind w:left="284" w:hanging="284"/>
        <w:rPr>
          <w:color w:val="auto"/>
          <w:sz w:val="24"/>
          <w:szCs w:val="24"/>
        </w:rPr>
      </w:pPr>
      <w:r w:rsidRPr="00E066A1">
        <w:rPr>
          <w:color w:val="1F4E79" w:themeColor="accent1" w:themeShade="80"/>
          <w:sz w:val="24"/>
          <w:szCs w:val="24"/>
        </w:rPr>
        <w:tab/>
      </w:r>
      <w:r w:rsidR="00544AC9" w:rsidRPr="00E066A1">
        <w:rPr>
          <w:color w:val="auto"/>
          <w:sz w:val="24"/>
          <w:szCs w:val="24"/>
        </w:rPr>
        <w:t>Odsetek osób (świadczeniobiorcy + personel medyczny), u których w post-teście odnotowano wysoki poziom wiedzy, względem wszystkich osób, które wypełniły pre-test.</w:t>
      </w:r>
      <w:r w:rsidR="004927BB">
        <w:rPr>
          <w:color w:val="auto"/>
          <w:sz w:val="24"/>
          <w:szCs w:val="24"/>
        </w:rPr>
        <w:t xml:space="preserve"> </w:t>
      </w:r>
    </w:p>
    <w:p w14:paraId="3A093A8A" w14:textId="7D7BEBC9" w:rsidR="004927BB" w:rsidRDefault="004927BB" w:rsidP="004927BB">
      <w:pPr>
        <w:pStyle w:val="Teksttreci20"/>
        <w:tabs>
          <w:tab w:val="left" w:pos="949"/>
        </w:tabs>
        <w:spacing w:line="276" w:lineRule="auto"/>
        <w:ind w:left="284" w:hanging="284"/>
        <w:rPr>
          <w:color w:val="auto"/>
          <w:sz w:val="24"/>
          <w:szCs w:val="24"/>
        </w:rPr>
      </w:pPr>
      <w:r>
        <w:rPr>
          <w:color w:val="auto"/>
          <w:sz w:val="24"/>
          <w:szCs w:val="24"/>
        </w:rPr>
        <w:tab/>
      </w:r>
      <w:r w:rsidR="00544AC9" w:rsidRPr="00E066A1">
        <w:rPr>
          <w:color w:val="auto"/>
          <w:sz w:val="24"/>
          <w:szCs w:val="24"/>
        </w:rPr>
        <w:t>Odsetek przedstawicieli personelu medycznego, u których w post-teście odnotowano wysoki poziom wiedzy, względem wszystkich osób z personelu medycznego, które wypełniły pre-test.</w:t>
      </w:r>
    </w:p>
    <w:p w14:paraId="1611796E" w14:textId="77777777" w:rsidR="00AC27DA" w:rsidRDefault="00AC27DA" w:rsidP="004927BB">
      <w:pPr>
        <w:pStyle w:val="Teksttreci20"/>
        <w:tabs>
          <w:tab w:val="left" w:pos="949"/>
        </w:tabs>
        <w:spacing w:line="276" w:lineRule="auto"/>
        <w:ind w:left="284" w:hanging="284"/>
        <w:rPr>
          <w:color w:val="auto"/>
          <w:sz w:val="24"/>
          <w:szCs w:val="24"/>
        </w:rPr>
      </w:pPr>
    </w:p>
    <w:p w14:paraId="3871C080" w14:textId="376C2ABB" w:rsidR="00544AC9" w:rsidRPr="00E066A1" w:rsidRDefault="004927BB" w:rsidP="004927BB">
      <w:pPr>
        <w:pStyle w:val="Teksttreci20"/>
        <w:tabs>
          <w:tab w:val="left" w:pos="949"/>
        </w:tabs>
        <w:spacing w:line="276" w:lineRule="auto"/>
        <w:ind w:left="284" w:hanging="284"/>
        <w:rPr>
          <w:color w:val="auto"/>
          <w:sz w:val="24"/>
          <w:szCs w:val="24"/>
        </w:rPr>
      </w:pPr>
      <w:r>
        <w:rPr>
          <w:color w:val="auto"/>
          <w:sz w:val="24"/>
          <w:szCs w:val="24"/>
        </w:rPr>
        <w:tab/>
      </w:r>
      <w:r w:rsidR="00544AC9" w:rsidRPr="00E066A1">
        <w:rPr>
          <w:color w:val="auto"/>
          <w:sz w:val="24"/>
          <w:szCs w:val="24"/>
        </w:rPr>
        <w:t>Odsetek świadczeniobiorców, u których w post-teście odnotowano wysoki poziom wiedzy, względem wszystkich świadczeniobiorców, którzy wypełnili pre-test.</w:t>
      </w:r>
    </w:p>
    <w:p w14:paraId="23A63BD4" w14:textId="1CBBC607" w:rsidR="00544AC9" w:rsidRDefault="00544AC9" w:rsidP="00E066A1">
      <w:pPr>
        <w:pStyle w:val="Teksttreci20"/>
        <w:shd w:val="clear" w:color="auto" w:fill="auto"/>
        <w:tabs>
          <w:tab w:val="left" w:pos="949"/>
        </w:tabs>
        <w:spacing w:line="276" w:lineRule="auto"/>
        <w:ind w:firstLine="0"/>
        <w:rPr>
          <w:sz w:val="24"/>
          <w:szCs w:val="24"/>
        </w:rPr>
      </w:pPr>
    </w:p>
    <w:p w14:paraId="6AA8C9F7" w14:textId="6858F73F" w:rsidR="002A5BCA" w:rsidRDefault="002A5BCA" w:rsidP="00E066A1">
      <w:pPr>
        <w:pStyle w:val="Teksttreci20"/>
        <w:shd w:val="clear" w:color="auto" w:fill="auto"/>
        <w:tabs>
          <w:tab w:val="left" w:pos="949"/>
        </w:tabs>
        <w:spacing w:line="276" w:lineRule="auto"/>
        <w:ind w:firstLine="0"/>
        <w:rPr>
          <w:sz w:val="24"/>
          <w:szCs w:val="24"/>
        </w:rPr>
      </w:pPr>
    </w:p>
    <w:p w14:paraId="38122905" w14:textId="2BBC6555" w:rsidR="002A5BCA" w:rsidRDefault="002A5BCA" w:rsidP="00E066A1">
      <w:pPr>
        <w:pStyle w:val="Teksttreci20"/>
        <w:shd w:val="clear" w:color="auto" w:fill="auto"/>
        <w:tabs>
          <w:tab w:val="left" w:pos="949"/>
        </w:tabs>
        <w:spacing w:line="276" w:lineRule="auto"/>
        <w:ind w:firstLine="0"/>
        <w:rPr>
          <w:sz w:val="24"/>
          <w:szCs w:val="24"/>
        </w:rPr>
      </w:pPr>
    </w:p>
    <w:p w14:paraId="7588306A" w14:textId="04B637BD" w:rsidR="002A5BCA" w:rsidRDefault="002A5BCA" w:rsidP="00E066A1">
      <w:pPr>
        <w:pStyle w:val="Teksttreci20"/>
        <w:shd w:val="clear" w:color="auto" w:fill="auto"/>
        <w:tabs>
          <w:tab w:val="left" w:pos="949"/>
        </w:tabs>
        <w:spacing w:line="276" w:lineRule="auto"/>
        <w:ind w:firstLine="0"/>
        <w:rPr>
          <w:sz w:val="24"/>
          <w:szCs w:val="24"/>
        </w:rPr>
      </w:pPr>
    </w:p>
    <w:p w14:paraId="5D85106B" w14:textId="54D3D301" w:rsidR="002A5BCA" w:rsidRDefault="002A5BCA" w:rsidP="00E066A1">
      <w:pPr>
        <w:pStyle w:val="Teksttreci20"/>
        <w:shd w:val="clear" w:color="auto" w:fill="auto"/>
        <w:tabs>
          <w:tab w:val="left" w:pos="949"/>
        </w:tabs>
        <w:spacing w:line="276" w:lineRule="auto"/>
        <w:ind w:firstLine="0"/>
        <w:rPr>
          <w:sz w:val="24"/>
          <w:szCs w:val="24"/>
        </w:rPr>
      </w:pPr>
    </w:p>
    <w:p w14:paraId="5D52AA0C" w14:textId="77777777" w:rsidR="002A5BCA" w:rsidRPr="00E066A1" w:rsidRDefault="002A5BCA" w:rsidP="00E066A1">
      <w:pPr>
        <w:pStyle w:val="Teksttreci20"/>
        <w:shd w:val="clear" w:color="auto" w:fill="auto"/>
        <w:tabs>
          <w:tab w:val="left" w:pos="949"/>
        </w:tabs>
        <w:spacing w:line="276" w:lineRule="auto"/>
        <w:ind w:firstLine="0"/>
        <w:rPr>
          <w:sz w:val="24"/>
          <w:szCs w:val="24"/>
        </w:rPr>
      </w:pPr>
    </w:p>
    <w:p w14:paraId="69B0F4CD" w14:textId="77777777" w:rsidR="00AA6876" w:rsidRPr="00E066A1" w:rsidRDefault="00545639">
      <w:pPr>
        <w:pStyle w:val="Teksttreci91"/>
        <w:numPr>
          <w:ilvl w:val="0"/>
          <w:numId w:val="9"/>
        </w:numPr>
        <w:shd w:val="clear" w:color="auto" w:fill="auto"/>
        <w:tabs>
          <w:tab w:val="left" w:pos="1004"/>
        </w:tabs>
        <w:spacing w:line="276" w:lineRule="auto"/>
        <w:jc w:val="both"/>
        <w:rPr>
          <w:sz w:val="24"/>
          <w:szCs w:val="24"/>
        </w:rPr>
      </w:pPr>
      <w:r w:rsidRPr="00E066A1">
        <w:rPr>
          <w:sz w:val="24"/>
          <w:szCs w:val="24"/>
        </w:rPr>
        <w:t>Charakterystyka populacji docelowej oraz interwencji</w:t>
      </w:r>
    </w:p>
    <w:p w14:paraId="3DE4540A" w14:textId="77777777" w:rsidR="00073739" w:rsidRPr="00E066A1" w:rsidRDefault="00073739" w:rsidP="00E066A1">
      <w:pPr>
        <w:pStyle w:val="Teksttreci20"/>
        <w:shd w:val="clear" w:color="auto" w:fill="auto"/>
        <w:tabs>
          <w:tab w:val="left" w:pos="948"/>
        </w:tabs>
        <w:spacing w:line="276" w:lineRule="auto"/>
        <w:ind w:left="720" w:firstLine="0"/>
        <w:rPr>
          <w:i/>
          <w:iCs/>
          <w:sz w:val="24"/>
          <w:szCs w:val="24"/>
        </w:rPr>
      </w:pPr>
    </w:p>
    <w:p w14:paraId="75D11E4D" w14:textId="7F30CC8A" w:rsidR="00073739" w:rsidRDefault="00073739">
      <w:pPr>
        <w:pStyle w:val="Teksttreci20"/>
        <w:numPr>
          <w:ilvl w:val="0"/>
          <w:numId w:val="17"/>
        </w:numPr>
        <w:shd w:val="clear" w:color="auto" w:fill="auto"/>
        <w:tabs>
          <w:tab w:val="left" w:pos="948"/>
        </w:tabs>
        <w:spacing w:line="276" w:lineRule="auto"/>
        <w:rPr>
          <w:b/>
          <w:bCs/>
          <w:sz w:val="24"/>
          <w:szCs w:val="24"/>
        </w:rPr>
      </w:pPr>
      <w:r w:rsidRPr="00E066A1">
        <w:rPr>
          <w:b/>
          <w:bCs/>
          <w:sz w:val="24"/>
          <w:szCs w:val="24"/>
        </w:rPr>
        <w:t>Populacja docelowa</w:t>
      </w:r>
    </w:p>
    <w:p w14:paraId="4CC75669" w14:textId="77777777" w:rsidR="00E066A1" w:rsidRPr="00E066A1" w:rsidRDefault="00E066A1" w:rsidP="00E066A1">
      <w:pPr>
        <w:pStyle w:val="Teksttreci20"/>
        <w:shd w:val="clear" w:color="auto" w:fill="auto"/>
        <w:tabs>
          <w:tab w:val="left" w:pos="948"/>
        </w:tabs>
        <w:spacing w:line="276" w:lineRule="auto"/>
        <w:ind w:firstLine="0"/>
        <w:rPr>
          <w:b/>
          <w:bCs/>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95"/>
        <w:gridCol w:w="4601"/>
      </w:tblGrid>
      <w:tr w:rsidR="00073739" w:rsidRPr="00E066A1" w14:paraId="5070D252" w14:textId="77777777" w:rsidTr="004927BB">
        <w:trPr>
          <w:trHeight w:hRule="exact" w:val="424"/>
          <w:jc w:val="center"/>
        </w:trPr>
        <w:tc>
          <w:tcPr>
            <w:tcW w:w="4595" w:type="dxa"/>
            <w:tcBorders>
              <w:top w:val="single" w:sz="4" w:space="0" w:color="auto"/>
              <w:left w:val="single" w:sz="4" w:space="0" w:color="auto"/>
            </w:tcBorders>
            <w:shd w:val="clear" w:color="auto" w:fill="D9D9D9"/>
            <w:vAlign w:val="center"/>
          </w:tcPr>
          <w:p w14:paraId="79CACE28" w14:textId="77777777" w:rsidR="00073739" w:rsidRPr="00E066A1" w:rsidRDefault="00073739"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b/>
                <w:bCs/>
                <w:color w:val="000000"/>
                <w:sz w:val="24"/>
                <w:szCs w:val="24"/>
              </w:rPr>
              <w:t>Interwencja</w:t>
            </w:r>
          </w:p>
        </w:tc>
        <w:tc>
          <w:tcPr>
            <w:tcW w:w="4601" w:type="dxa"/>
            <w:tcBorders>
              <w:top w:val="single" w:sz="4" w:space="0" w:color="auto"/>
              <w:left w:val="single" w:sz="4" w:space="0" w:color="auto"/>
              <w:right w:val="single" w:sz="4" w:space="0" w:color="auto"/>
            </w:tcBorders>
            <w:shd w:val="clear" w:color="auto" w:fill="D9D9D9"/>
            <w:vAlign w:val="center"/>
          </w:tcPr>
          <w:p w14:paraId="7453DDCC" w14:textId="77777777" w:rsidR="00073739" w:rsidRPr="00E066A1" w:rsidRDefault="00073739"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b/>
                <w:bCs/>
                <w:color w:val="000000"/>
                <w:sz w:val="24"/>
                <w:szCs w:val="24"/>
              </w:rPr>
              <w:t>Opis populacji docelowej</w:t>
            </w:r>
          </w:p>
        </w:tc>
      </w:tr>
      <w:tr w:rsidR="00073739" w:rsidRPr="00E066A1" w14:paraId="0A9B8C5B" w14:textId="77777777" w:rsidTr="00AC27DA">
        <w:trPr>
          <w:trHeight w:hRule="exact" w:val="2226"/>
          <w:jc w:val="center"/>
        </w:trPr>
        <w:tc>
          <w:tcPr>
            <w:tcW w:w="4595" w:type="dxa"/>
            <w:tcBorders>
              <w:top w:val="single" w:sz="4" w:space="0" w:color="auto"/>
              <w:left w:val="single" w:sz="4" w:space="0" w:color="auto"/>
            </w:tcBorders>
            <w:shd w:val="clear" w:color="auto" w:fill="FFFFFF"/>
          </w:tcPr>
          <w:p w14:paraId="13416D55" w14:textId="77777777" w:rsidR="00073739" w:rsidRPr="00E066A1" w:rsidRDefault="00073739"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Szkolenia personelu medycznego</w:t>
            </w:r>
          </w:p>
        </w:tc>
        <w:tc>
          <w:tcPr>
            <w:tcW w:w="4601" w:type="dxa"/>
            <w:tcBorders>
              <w:top w:val="single" w:sz="4" w:space="0" w:color="auto"/>
              <w:left w:val="single" w:sz="4" w:space="0" w:color="auto"/>
              <w:right w:val="single" w:sz="4" w:space="0" w:color="auto"/>
            </w:tcBorders>
            <w:shd w:val="clear" w:color="auto" w:fill="FFFFFF"/>
            <w:vAlign w:val="center"/>
          </w:tcPr>
          <w:p w14:paraId="500C0BAD" w14:textId="77777777" w:rsidR="00073739" w:rsidRPr="00E066A1" w:rsidRDefault="00073739" w:rsidP="00E066A1">
            <w:pPr>
              <w:pStyle w:val="Inne0"/>
              <w:tabs>
                <w:tab w:val="left" w:pos="1090"/>
                <w:tab w:val="left" w:pos="2347"/>
                <w:tab w:val="left" w:pos="3086"/>
                <w:tab w:val="left" w:pos="3672"/>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Personel</w:t>
            </w:r>
            <w:r w:rsidRPr="00E066A1">
              <w:rPr>
                <w:rFonts w:ascii="Times New Roman" w:hAnsi="Times New Roman" w:cs="Times New Roman"/>
                <w:color w:val="000000"/>
                <w:sz w:val="24"/>
                <w:szCs w:val="24"/>
              </w:rPr>
              <w:tab/>
              <w:t>medyczny,</w:t>
            </w:r>
            <w:r w:rsidRPr="00E066A1">
              <w:rPr>
                <w:rFonts w:ascii="Times New Roman" w:hAnsi="Times New Roman" w:cs="Times New Roman"/>
                <w:color w:val="000000"/>
                <w:sz w:val="24"/>
                <w:szCs w:val="24"/>
              </w:rPr>
              <w:tab/>
              <w:t>który</w:t>
            </w:r>
            <w:r w:rsidRPr="00E066A1">
              <w:rPr>
                <w:rFonts w:ascii="Times New Roman" w:hAnsi="Times New Roman" w:cs="Times New Roman"/>
                <w:color w:val="000000"/>
                <w:sz w:val="24"/>
                <w:szCs w:val="24"/>
              </w:rPr>
              <w:tab/>
              <w:t>ma</w:t>
            </w:r>
            <w:r w:rsidRPr="00E066A1">
              <w:rPr>
                <w:rFonts w:ascii="Times New Roman" w:hAnsi="Times New Roman" w:cs="Times New Roman"/>
                <w:color w:val="000000"/>
                <w:sz w:val="24"/>
                <w:szCs w:val="24"/>
              </w:rPr>
              <w:tab/>
              <w:t>kontakt</w:t>
            </w:r>
          </w:p>
          <w:p w14:paraId="7928D5B8" w14:textId="003DB1DC" w:rsidR="00073739" w:rsidRDefault="00073739" w:rsidP="00E066A1">
            <w:pPr>
              <w:pStyle w:val="Inne0"/>
              <w:spacing w:line="276" w:lineRule="auto"/>
              <w:jc w:val="both"/>
              <w:rPr>
                <w:rFonts w:ascii="Times New Roman" w:hAnsi="Times New Roman" w:cs="Times New Roman"/>
                <w:color w:val="000000"/>
                <w:sz w:val="24"/>
                <w:szCs w:val="24"/>
              </w:rPr>
            </w:pPr>
            <w:r w:rsidRPr="00E066A1">
              <w:rPr>
                <w:rFonts w:ascii="Times New Roman" w:hAnsi="Times New Roman" w:cs="Times New Roman"/>
                <w:color w:val="000000"/>
                <w:sz w:val="24"/>
                <w:szCs w:val="24"/>
              </w:rPr>
              <w:t>z uczestnikami PPZ, a w szczególności:</w:t>
            </w:r>
          </w:p>
          <w:p w14:paraId="2E9BE6EF" w14:textId="78DAB991" w:rsidR="00073739" w:rsidRPr="00AC27DA" w:rsidRDefault="00073739">
            <w:pPr>
              <w:pStyle w:val="Inne0"/>
              <w:numPr>
                <w:ilvl w:val="0"/>
                <w:numId w:val="32"/>
              </w:numPr>
              <w:spacing w:line="276" w:lineRule="auto"/>
              <w:jc w:val="both"/>
              <w:rPr>
                <w:rFonts w:ascii="Times New Roman" w:hAnsi="Times New Roman" w:cs="Times New Roman"/>
                <w:sz w:val="24"/>
                <w:szCs w:val="24"/>
              </w:rPr>
            </w:pPr>
            <w:r w:rsidRPr="00AC27DA">
              <w:rPr>
                <w:rFonts w:ascii="Times New Roman" w:hAnsi="Times New Roman" w:cs="Times New Roman"/>
                <w:color w:val="000000"/>
                <w:sz w:val="24"/>
                <w:szCs w:val="24"/>
              </w:rPr>
              <w:t>osoby realizujące działania informacyjno- edukacyjne</w:t>
            </w:r>
          </w:p>
          <w:p w14:paraId="0045A36F" w14:textId="65A38AB8" w:rsidR="00073739" w:rsidRPr="00AC27DA" w:rsidRDefault="00073739">
            <w:pPr>
              <w:pStyle w:val="Inne0"/>
              <w:numPr>
                <w:ilvl w:val="0"/>
                <w:numId w:val="32"/>
              </w:numPr>
              <w:spacing w:line="276" w:lineRule="auto"/>
              <w:jc w:val="both"/>
              <w:rPr>
                <w:rFonts w:ascii="Times New Roman" w:hAnsi="Times New Roman" w:cs="Times New Roman"/>
                <w:sz w:val="24"/>
                <w:szCs w:val="24"/>
              </w:rPr>
            </w:pPr>
            <w:r w:rsidRPr="00AC27DA">
              <w:rPr>
                <w:rFonts w:ascii="Times New Roman" w:hAnsi="Times New Roman" w:cs="Times New Roman"/>
                <w:color w:val="000000"/>
                <w:sz w:val="24"/>
                <w:szCs w:val="24"/>
              </w:rPr>
              <w:t>lekarze</w:t>
            </w:r>
            <w:r w:rsidRPr="00AC27DA">
              <w:rPr>
                <w:rFonts w:ascii="Times New Roman" w:hAnsi="Times New Roman" w:cs="Times New Roman"/>
                <w:color w:val="000000"/>
                <w:sz w:val="24"/>
                <w:szCs w:val="24"/>
              </w:rPr>
              <w:tab/>
              <w:t>przeprowadzający</w:t>
            </w:r>
            <w:r w:rsidRPr="00AC27DA">
              <w:rPr>
                <w:rFonts w:ascii="Times New Roman" w:hAnsi="Times New Roman" w:cs="Times New Roman"/>
                <w:color w:val="000000"/>
                <w:sz w:val="24"/>
                <w:szCs w:val="24"/>
              </w:rPr>
              <w:tab/>
              <w:t>wizyty</w:t>
            </w:r>
            <w:r w:rsidR="00AC27DA">
              <w:rPr>
                <w:rFonts w:ascii="Times New Roman" w:hAnsi="Times New Roman" w:cs="Times New Roman"/>
                <w:sz w:val="24"/>
                <w:szCs w:val="24"/>
              </w:rPr>
              <w:t xml:space="preserve"> </w:t>
            </w:r>
            <w:r w:rsidRPr="00AC27DA">
              <w:rPr>
                <w:rFonts w:ascii="Times New Roman" w:hAnsi="Times New Roman" w:cs="Times New Roman"/>
                <w:color w:val="000000"/>
                <w:sz w:val="24"/>
                <w:szCs w:val="24"/>
              </w:rPr>
              <w:t>podsumowujące.</w:t>
            </w:r>
          </w:p>
        </w:tc>
      </w:tr>
      <w:tr w:rsidR="00073739" w:rsidRPr="00E066A1" w14:paraId="288BCD93" w14:textId="77777777" w:rsidTr="004927BB">
        <w:trPr>
          <w:trHeight w:hRule="exact" w:val="419"/>
          <w:jc w:val="center"/>
        </w:trPr>
        <w:tc>
          <w:tcPr>
            <w:tcW w:w="4595" w:type="dxa"/>
            <w:tcBorders>
              <w:top w:val="single" w:sz="4" w:space="0" w:color="auto"/>
              <w:left w:val="single" w:sz="4" w:space="0" w:color="auto"/>
            </w:tcBorders>
            <w:shd w:val="clear" w:color="auto" w:fill="FFFFFF"/>
            <w:vAlign w:val="center"/>
          </w:tcPr>
          <w:p w14:paraId="0C6426ED" w14:textId="77777777" w:rsidR="00073739" w:rsidRPr="00E066A1" w:rsidRDefault="00073739"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Działania informacyjno-edukacyjne</w:t>
            </w:r>
          </w:p>
        </w:tc>
        <w:tc>
          <w:tcPr>
            <w:tcW w:w="4601" w:type="dxa"/>
            <w:tcBorders>
              <w:top w:val="single" w:sz="4" w:space="0" w:color="auto"/>
              <w:left w:val="single" w:sz="4" w:space="0" w:color="auto"/>
              <w:right w:val="single" w:sz="4" w:space="0" w:color="auto"/>
            </w:tcBorders>
            <w:shd w:val="clear" w:color="auto" w:fill="FFFFFF"/>
            <w:vAlign w:val="center"/>
          </w:tcPr>
          <w:p w14:paraId="793605DC" w14:textId="77777777" w:rsidR="00073739" w:rsidRPr="00E066A1" w:rsidRDefault="00073739"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Populacja ogólna osób dorosłych.</w:t>
            </w:r>
          </w:p>
        </w:tc>
      </w:tr>
      <w:tr w:rsidR="00073739" w:rsidRPr="00E066A1" w14:paraId="29A32F96" w14:textId="77777777" w:rsidTr="00AC27DA">
        <w:trPr>
          <w:trHeight w:hRule="exact" w:val="1995"/>
          <w:jc w:val="center"/>
        </w:trPr>
        <w:tc>
          <w:tcPr>
            <w:tcW w:w="4595" w:type="dxa"/>
            <w:tcBorders>
              <w:top w:val="single" w:sz="4" w:space="0" w:color="auto"/>
              <w:left w:val="single" w:sz="4" w:space="0" w:color="auto"/>
            </w:tcBorders>
            <w:shd w:val="clear" w:color="auto" w:fill="FFFFFF"/>
          </w:tcPr>
          <w:p w14:paraId="165A4EB5" w14:textId="77777777" w:rsidR="00073739" w:rsidRPr="00E066A1" w:rsidRDefault="00073739" w:rsidP="00E066A1">
            <w:pPr>
              <w:pStyle w:val="Inne0"/>
              <w:tabs>
                <w:tab w:val="left" w:pos="1032"/>
                <w:tab w:val="left" w:pos="2050"/>
                <w:tab w:val="left" w:pos="3504"/>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Ocena</w:t>
            </w:r>
            <w:r w:rsidRPr="00E066A1">
              <w:rPr>
                <w:rFonts w:ascii="Times New Roman" w:hAnsi="Times New Roman" w:cs="Times New Roman"/>
                <w:color w:val="000000"/>
                <w:sz w:val="24"/>
                <w:szCs w:val="24"/>
              </w:rPr>
              <w:tab/>
              <w:t>ryzyka</w:t>
            </w:r>
            <w:r w:rsidRPr="00E066A1">
              <w:rPr>
                <w:rFonts w:ascii="Times New Roman" w:hAnsi="Times New Roman" w:cs="Times New Roman"/>
                <w:color w:val="000000"/>
                <w:sz w:val="24"/>
                <w:szCs w:val="24"/>
              </w:rPr>
              <w:tab/>
              <w:t>poważnego</w:t>
            </w:r>
            <w:r w:rsidRPr="00E066A1">
              <w:rPr>
                <w:rFonts w:ascii="Times New Roman" w:hAnsi="Times New Roman" w:cs="Times New Roman"/>
                <w:color w:val="000000"/>
                <w:sz w:val="24"/>
                <w:szCs w:val="24"/>
              </w:rPr>
              <w:tab/>
              <w:t>złamania</w:t>
            </w:r>
          </w:p>
          <w:p w14:paraId="218A221D" w14:textId="77777777" w:rsidR="00073739" w:rsidRPr="00E066A1" w:rsidRDefault="00073739"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osteoporotycznego narzędziem FRAX</w:t>
            </w:r>
          </w:p>
        </w:tc>
        <w:tc>
          <w:tcPr>
            <w:tcW w:w="4601" w:type="dxa"/>
            <w:tcBorders>
              <w:top w:val="single" w:sz="4" w:space="0" w:color="auto"/>
              <w:left w:val="single" w:sz="4" w:space="0" w:color="auto"/>
              <w:right w:val="single" w:sz="4" w:space="0" w:color="auto"/>
            </w:tcBorders>
            <w:shd w:val="clear" w:color="auto" w:fill="FFFFFF"/>
            <w:vAlign w:val="bottom"/>
          </w:tcPr>
          <w:p w14:paraId="4B4B7A64" w14:textId="23587F12" w:rsidR="00073739" w:rsidRPr="00E066A1" w:rsidRDefault="00073739"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Kobiety w wieku &gt;65 lat, lub kobiety w wieku 40</w:t>
            </w:r>
            <w:r w:rsidRPr="00E066A1">
              <w:rPr>
                <w:rFonts w:ascii="Times New Roman" w:hAnsi="Times New Roman" w:cs="Times New Roman"/>
                <w:color w:val="000000"/>
                <w:sz w:val="24"/>
                <w:szCs w:val="24"/>
              </w:rPr>
              <w:softHyphen/>
            </w:r>
            <w:r w:rsidR="00AC27DA">
              <w:rPr>
                <w:rFonts w:ascii="Times New Roman" w:hAnsi="Times New Roman" w:cs="Times New Roman"/>
                <w:color w:val="000000"/>
                <w:sz w:val="24"/>
                <w:szCs w:val="24"/>
              </w:rPr>
              <w:t xml:space="preserve"> - </w:t>
            </w:r>
            <w:r w:rsidRPr="00E066A1">
              <w:rPr>
                <w:rFonts w:ascii="Times New Roman" w:hAnsi="Times New Roman" w:cs="Times New Roman"/>
                <w:color w:val="000000"/>
                <w:sz w:val="24"/>
                <w:szCs w:val="24"/>
              </w:rPr>
              <w:t>64 lat z co najmniej jednym dodatkowym czynnikiem ryzyka złamania osteoporotycznego, lub mężczyźni w wieku &gt;75 lat (po objęciu działaniami całej populacji kobiet).</w:t>
            </w:r>
          </w:p>
        </w:tc>
      </w:tr>
      <w:tr w:rsidR="00073739" w:rsidRPr="00E066A1" w14:paraId="72B0786B" w14:textId="77777777" w:rsidTr="00AC27DA">
        <w:trPr>
          <w:trHeight w:hRule="exact" w:val="1698"/>
          <w:jc w:val="center"/>
        </w:trPr>
        <w:tc>
          <w:tcPr>
            <w:tcW w:w="4595" w:type="dxa"/>
            <w:tcBorders>
              <w:top w:val="single" w:sz="4" w:space="0" w:color="auto"/>
              <w:left w:val="single" w:sz="4" w:space="0" w:color="auto"/>
            </w:tcBorders>
            <w:shd w:val="clear" w:color="auto" w:fill="FFFFFF"/>
          </w:tcPr>
          <w:p w14:paraId="74655E7D" w14:textId="77777777" w:rsidR="00073739" w:rsidRPr="00E066A1" w:rsidRDefault="00073739"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Pomiar BMD za pomocą DXA</w:t>
            </w:r>
          </w:p>
        </w:tc>
        <w:tc>
          <w:tcPr>
            <w:tcW w:w="4601" w:type="dxa"/>
            <w:tcBorders>
              <w:top w:val="single" w:sz="4" w:space="0" w:color="auto"/>
              <w:left w:val="single" w:sz="4" w:space="0" w:color="auto"/>
              <w:right w:val="single" w:sz="4" w:space="0" w:color="auto"/>
            </w:tcBorders>
            <w:shd w:val="clear" w:color="auto" w:fill="FFFFFF"/>
            <w:vAlign w:val="center"/>
          </w:tcPr>
          <w:p w14:paraId="6FE6C8CF" w14:textId="77777777" w:rsidR="00073739" w:rsidRPr="00E066A1" w:rsidRDefault="00073739" w:rsidP="00E066A1">
            <w:pPr>
              <w:pStyle w:val="Inne0"/>
              <w:tabs>
                <w:tab w:val="left" w:pos="1238"/>
                <w:tab w:val="left" w:pos="2424"/>
                <w:tab w:val="left" w:pos="2813"/>
                <w:tab w:val="left" w:pos="3730"/>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Uczestnicy</w:t>
            </w:r>
            <w:r w:rsidRPr="00E066A1">
              <w:rPr>
                <w:rFonts w:ascii="Times New Roman" w:hAnsi="Times New Roman" w:cs="Times New Roman"/>
                <w:color w:val="000000"/>
                <w:sz w:val="24"/>
                <w:szCs w:val="24"/>
              </w:rPr>
              <w:tab/>
              <w:t>programu,</w:t>
            </w:r>
            <w:r w:rsidRPr="00E066A1">
              <w:rPr>
                <w:rFonts w:ascii="Times New Roman" w:hAnsi="Times New Roman" w:cs="Times New Roman"/>
                <w:color w:val="000000"/>
                <w:sz w:val="24"/>
                <w:szCs w:val="24"/>
              </w:rPr>
              <w:tab/>
              <w:t>u</w:t>
            </w:r>
            <w:r w:rsidRPr="00E066A1">
              <w:rPr>
                <w:rFonts w:ascii="Times New Roman" w:hAnsi="Times New Roman" w:cs="Times New Roman"/>
                <w:color w:val="000000"/>
                <w:sz w:val="24"/>
                <w:szCs w:val="24"/>
              </w:rPr>
              <w:tab/>
              <w:t>których</w:t>
            </w:r>
            <w:r w:rsidRPr="00E066A1">
              <w:rPr>
                <w:rFonts w:ascii="Times New Roman" w:hAnsi="Times New Roman" w:cs="Times New Roman"/>
                <w:color w:val="000000"/>
                <w:sz w:val="24"/>
                <w:szCs w:val="24"/>
              </w:rPr>
              <w:tab/>
              <w:t>ryzyko</w:t>
            </w:r>
          </w:p>
          <w:p w14:paraId="03B2A085" w14:textId="77777777" w:rsidR="00073739" w:rsidRPr="00E066A1" w:rsidRDefault="00073739" w:rsidP="00E066A1">
            <w:pPr>
              <w:pStyle w:val="Inne0"/>
              <w:tabs>
                <w:tab w:val="left" w:pos="1411"/>
                <w:tab w:val="left" w:pos="2616"/>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poważnego</w:t>
            </w:r>
            <w:r w:rsidRPr="00E066A1">
              <w:rPr>
                <w:rFonts w:ascii="Times New Roman" w:hAnsi="Times New Roman" w:cs="Times New Roman"/>
                <w:color w:val="000000"/>
                <w:sz w:val="24"/>
                <w:szCs w:val="24"/>
              </w:rPr>
              <w:tab/>
              <w:t>złamania</w:t>
            </w:r>
            <w:r w:rsidRPr="00E066A1">
              <w:rPr>
                <w:rFonts w:ascii="Times New Roman" w:hAnsi="Times New Roman" w:cs="Times New Roman"/>
                <w:color w:val="000000"/>
                <w:sz w:val="24"/>
                <w:szCs w:val="24"/>
              </w:rPr>
              <w:tab/>
              <w:t>osteoporotycznego</w:t>
            </w:r>
          </w:p>
          <w:p w14:paraId="76C4B068" w14:textId="77777777" w:rsidR="00073739" w:rsidRPr="00E066A1" w:rsidRDefault="00073739"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ocenionego narzędziem FRAX na podstawie danych z formularza zgłoszeniowego wyniosło &gt;5%.</w:t>
            </w:r>
          </w:p>
        </w:tc>
      </w:tr>
      <w:tr w:rsidR="00073739" w:rsidRPr="00E066A1" w14:paraId="08FC2A12" w14:textId="77777777" w:rsidTr="00AC27DA">
        <w:trPr>
          <w:trHeight w:hRule="exact" w:val="1141"/>
          <w:jc w:val="center"/>
        </w:trPr>
        <w:tc>
          <w:tcPr>
            <w:tcW w:w="4595" w:type="dxa"/>
            <w:tcBorders>
              <w:top w:val="single" w:sz="4" w:space="0" w:color="auto"/>
              <w:left w:val="single" w:sz="4" w:space="0" w:color="auto"/>
              <w:bottom w:val="single" w:sz="4" w:space="0" w:color="auto"/>
            </w:tcBorders>
            <w:shd w:val="clear" w:color="auto" w:fill="FFFFFF"/>
          </w:tcPr>
          <w:p w14:paraId="77089DC6" w14:textId="77777777" w:rsidR="00073739" w:rsidRPr="00E066A1" w:rsidRDefault="00073739"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Lekarska wizyta podsumowująca</w:t>
            </w:r>
          </w:p>
        </w:tc>
        <w:tc>
          <w:tcPr>
            <w:tcW w:w="4601" w:type="dxa"/>
            <w:tcBorders>
              <w:top w:val="single" w:sz="4" w:space="0" w:color="auto"/>
              <w:left w:val="single" w:sz="4" w:space="0" w:color="auto"/>
              <w:bottom w:val="single" w:sz="4" w:space="0" w:color="auto"/>
              <w:right w:val="single" w:sz="4" w:space="0" w:color="auto"/>
            </w:tcBorders>
            <w:shd w:val="clear" w:color="auto" w:fill="FFFFFF"/>
            <w:vAlign w:val="center"/>
          </w:tcPr>
          <w:p w14:paraId="2099AD57" w14:textId="77777777" w:rsidR="00073739" w:rsidRPr="00E066A1" w:rsidRDefault="00073739" w:rsidP="00E066A1">
            <w:pPr>
              <w:pStyle w:val="Inne0"/>
              <w:tabs>
                <w:tab w:val="left" w:pos="2654"/>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Każdy świadczeniobiorca,</w:t>
            </w:r>
            <w:r w:rsidRPr="00E066A1">
              <w:rPr>
                <w:rFonts w:ascii="Times New Roman" w:hAnsi="Times New Roman" w:cs="Times New Roman"/>
                <w:color w:val="000000"/>
                <w:sz w:val="24"/>
                <w:szCs w:val="24"/>
              </w:rPr>
              <w:tab/>
              <w:t>który w ramach</w:t>
            </w:r>
          </w:p>
          <w:p w14:paraId="429BB88C" w14:textId="77777777" w:rsidR="00073739" w:rsidRPr="00E066A1" w:rsidRDefault="00073739" w:rsidP="00E066A1">
            <w:pPr>
              <w:pStyle w:val="Inne0"/>
              <w:tabs>
                <w:tab w:val="left" w:pos="1138"/>
                <w:tab w:val="left" w:pos="2069"/>
                <w:tab w:val="left" w:pos="2866"/>
                <w:tab w:val="left" w:pos="3869"/>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programu</w:t>
            </w:r>
            <w:r w:rsidRPr="00E066A1">
              <w:rPr>
                <w:rFonts w:ascii="Times New Roman" w:hAnsi="Times New Roman" w:cs="Times New Roman"/>
                <w:color w:val="000000"/>
                <w:sz w:val="24"/>
                <w:szCs w:val="24"/>
              </w:rPr>
              <w:tab/>
              <w:t>uzyskał</w:t>
            </w:r>
            <w:r w:rsidRPr="00E066A1">
              <w:rPr>
                <w:rFonts w:ascii="Times New Roman" w:hAnsi="Times New Roman" w:cs="Times New Roman"/>
                <w:color w:val="000000"/>
                <w:sz w:val="24"/>
                <w:szCs w:val="24"/>
              </w:rPr>
              <w:tab/>
              <w:t>wynik</w:t>
            </w:r>
            <w:r w:rsidRPr="00E066A1">
              <w:rPr>
                <w:rFonts w:ascii="Times New Roman" w:hAnsi="Times New Roman" w:cs="Times New Roman"/>
                <w:color w:val="000000"/>
                <w:sz w:val="24"/>
                <w:szCs w:val="24"/>
              </w:rPr>
              <w:tab/>
              <w:t>pomiaru</w:t>
            </w:r>
            <w:r w:rsidRPr="00E066A1">
              <w:rPr>
                <w:rFonts w:ascii="Times New Roman" w:hAnsi="Times New Roman" w:cs="Times New Roman"/>
                <w:color w:val="000000"/>
                <w:sz w:val="24"/>
                <w:szCs w:val="24"/>
              </w:rPr>
              <w:tab/>
              <w:t>BMD</w:t>
            </w:r>
          </w:p>
          <w:p w14:paraId="6B03B9CF" w14:textId="77777777" w:rsidR="00073739" w:rsidRPr="00E066A1" w:rsidRDefault="00073739"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za pomocą DXA.</w:t>
            </w:r>
          </w:p>
        </w:tc>
      </w:tr>
    </w:tbl>
    <w:p w14:paraId="30F7C5C8" w14:textId="2C6B5243" w:rsidR="00AC27DA" w:rsidRDefault="00AC27DA" w:rsidP="00AC27DA">
      <w:pPr>
        <w:pStyle w:val="Teksttreci20"/>
        <w:shd w:val="clear" w:color="auto" w:fill="auto"/>
        <w:tabs>
          <w:tab w:val="left" w:pos="948"/>
        </w:tabs>
        <w:spacing w:line="276" w:lineRule="auto"/>
        <w:ind w:left="720" w:firstLine="0"/>
        <w:rPr>
          <w:b/>
          <w:bCs/>
          <w:sz w:val="24"/>
          <w:szCs w:val="24"/>
        </w:rPr>
      </w:pPr>
    </w:p>
    <w:p w14:paraId="2C3FAE8E" w14:textId="77777777" w:rsidR="00AC27DA" w:rsidRDefault="00AC27DA" w:rsidP="00AC27DA">
      <w:pPr>
        <w:pStyle w:val="Teksttreci20"/>
        <w:shd w:val="clear" w:color="auto" w:fill="auto"/>
        <w:tabs>
          <w:tab w:val="left" w:pos="948"/>
        </w:tabs>
        <w:spacing w:line="276" w:lineRule="auto"/>
        <w:ind w:left="720" w:firstLine="0"/>
        <w:rPr>
          <w:b/>
          <w:bCs/>
          <w:sz w:val="24"/>
          <w:szCs w:val="24"/>
        </w:rPr>
      </w:pPr>
    </w:p>
    <w:p w14:paraId="572DEB59" w14:textId="2A80F9B1" w:rsidR="00073739" w:rsidRPr="00E066A1" w:rsidRDefault="00073739">
      <w:pPr>
        <w:pStyle w:val="Teksttreci20"/>
        <w:numPr>
          <w:ilvl w:val="0"/>
          <w:numId w:val="17"/>
        </w:numPr>
        <w:shd w:val="clear" w:color="auto" w:fill="auto"/>
        <w:tabs>
          <w:tab w:val="left" w:pos="948"/>
        </w:tabs>
        <w:spacing w:line="276" w:lineRule="auto"/>
        <w:rPr>
          <w:b/>
          <w:bCs/>
          <w:sz w:val="24"/>
          <w:szCs w:val="24"/>
        </w:rPr>
      </w:pPr>
      <w:r w:rsidRPr="00E066A1">
        <w:rPr>
          <w:b/>
          <w:bCs/>
          <w:sz w:val="24"/>
          <w:szCs w:val="24"/>
        </w:rPr>
        <w:t>Kryteria kwalifikacji do udziału w programie polityki zdrowotnej oraz kryteria wyłączenia z programu polityki zdrowotnej.</w:t>
      </w:r>
    </w:p>
    <w:p w14:paraId="074305A4" w14:textId="313C12F6" w:rsidR="00073739" w:rsidRPr="00E066A1" w:rsidRDefault="00073739" w:rsidP="00E066A1">
      <w:pPr>
        <w:pStyle w:val="Teksttreci20"/>
        <w:shd w:val="clear" w:color="auto" w:fill="auto"/>
        <w:tabs>
          <w:tab w:val="left" w:pos="948"/>
        </w:tabs>
        <w:spacing w:line="276" w:lineRule="auto"/>
        <w:ind w:firstLine="0"/>
        <w:rPr>
          <w:b/>
          <w:bCs/>
          <w:sz w:val="24"/>
          <w:szCs w:val="24"/>
        </w:rPr>
      </w:pPr>
    </w:p>
    <w:p w14:paraId="47DDA652" w14:textId="475282A6" w:rsidR="00544AC9" w:rsidRDefault="00AC27DA" w:rsidP="00E066A1">
      <w:pPr>
        <w:pStyle w:val="Teksttreci0"/>
        <w:spacing w:line="276" w:lineRule="auto"/>
        <w:ind w:left="360"/>
        <w:jc w:val="both"/>
        <w:rPr>
          <w:rFonts w:ascii="Times New Roman" w:hAnsi="Times New Roman" w:cs="Times New Roman"/>
          <w:color w:val="000000"/>
          <w:sz w:val="24"/>
          <w:szCs w:val="24"/>
        </w:rPr>
      </w:pPr>
      <w:r w:rsidRPr="00AC27DA">
        <w:rPr>
          <w:rFonts w:ascii="Times New Roman" w:hAnsi="Times New Roman" w:cs="Times New Roman"/>
          <w:color w:val="000000"/>
          <w:sz w:val="24"/>
          <w:szCs w:val="24"/>
        </w:rPr>
        <w:t>Kryteria kwalifikacji do udziału w programie polityki zdrowotnej</w:t>
      </w:r>
      <w:r>
        <w:rPr>
          <w:rFonts w:ascii="Times New Roman" w:hAnsi="Times New Roman" w:cs="Times New Roman"/>
          <w:color w:val="000000"/>
          <w:sz w:val="24"/>
          <w:szCs w:val="24"/>
        </w:rPr>
        <w:t xml:space="preserve">: </w:t>
      </w:r>
      <w:r w:rsidR="00544AC9" w:rsidRPr="00E066A1">
        <w:rPr>
          <w:rFonts w:ascii="Times New Roman" w:hAnsi="Times New Roman" w:cs="Times New Roman"/>
          <w:color w:val="000000"/>
          <w:sz w:val="24"/>
          <w:szCs w:val="24"/>
        </w:rPr>
        <w:t>osoby spełniające łącznie wszystkie kryteria włączenia przy jednoczesnym braku obecności nawet jednego kryterium wyłączenia.</w:t>
      </w:r>
    </w:p>
    <w:p w14:paraId="436AF08C" w14:textId="789B0751" w:rsidR="002A5BCA" w:rsidRDefault="002A5BCA" w:rsidP="00E066A1">
      <w:pPr>
        <w:pStyle w:val="Teksttreci0"/>
        <w:spacing w:line="276" w:lineRule="auto"/>
        <w:ind w:left="360"/>
        <w:jc w:val="both"/>
        <w:rPr>
          <w:rFonts w:ascii="Times New Roman" w:hAnsi="Times New Roman" w:cs="Times New Roman"/>
          <w:color w:val="000000"/>
          <w:sz w:val="24"/>
          <w:szCs w:val="24"/>
        </w:rPr>
      </w:pPr>
    </w:p>
    <w:p w14:paraId="6E74B42C" w14:textId="0E30DEAB" w:rsidR="002A5BCA" w:rsidRDefault="002A5BCA" w:rsidP="00E066A1">
      <w:pPr>
        <w:pStyle w:val="Teksttreci0"/>
        <w:spacing w:line="276" w:lineRule="auto"/>
        <w:ind w:left="360"/>
        <w:jc w:val="both"/>
        <w:rPr>
          <w:rFonts w:ascii="Times New Roman" w:hAnsi="Times New Roman" w:cs="Times New Roman"/>
          <w:color w:val="000000"/>
          <w:sz w:val="24"/>
          <w:szCs w:val="24"/>
        </w:rPr>
      </w:pPr>
    </w:p>
    <w:p w14:paraId="03DB0225" w14:textId="03EDE584" w:rsidR="002A5BCA" w:rsidRDefault="002A5BCA" w:rsidP="00E066A1">
      <w:pPr>
        <w:pStyle w:val="Teksttreci0"/>
        <w:spacing w:line="276" w:lineRule="auto"/>
        <w:ind w:left="360"/>
        <w:jc w:val="both"/>
        <w:rPr>
          <w:rFonts w:ascii="Times New Roman" w:hAnsi="Times New Roman" w:cs="Times New Roman"/>
          <w:color w:val="000000"/>
          <w:sz w:val="24"/>
          <w:szCs w:val="24"/>
        </w:rPr>
      </w:pPr>
    </w:p>
    <w:p w14:paraId="588AA28A" w14:textId="598A5AB4" w:rsidR="002A5BCA" w:rsidRDefault="002A5BCA" w:rsidP="00E066A1">
      <w:pPr>
        <w:pStyle w:val="Teksttreci0"/>
        <w:spacing w:line="276" w:lineRule="auto"/>
        <w:ind w:left="360"/>
        <w:jc w:val="both"/>
        <w:rPr>
          <w:rFonts w:ascii="Times New Roman" w:hAnsi="Times New Roman" w:cs="Times New Roman"/>
          <w:color w:val="000000"/>
          <w:sz w:val="24"/>
          <w:szCs w:val="24"/>
        </w:rPr>
      </w:pPr>
    </w:p>
    <w:p w14:paraId="2BC68BAD" w14:textId="77777777" w:rsidR="002A5BCA" w:rsidRPr="00E066A1" w:rsidRDefault="002A5BCA" w:rsidP="00E066A1">
      <w:pPr>
        <w:pStyle w:val="Teksttreci0"/>
        <w:spacing w:line="276" w:lineRule="auto"/>
        <w:ind w:left="360"/>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19"/>
        <w:gridCol w:w="3119"/>
        <w:gridCol w:w="3659"/>
      </w:tblGrid>
      <w:tr w:rsidR="00544AC9" w:rsidRPr="00E066A1" w14:paraId="39423FBF" w14:textId="77777777" w:rsidTr="00AC27DA">
        <w:trPr>
          <w:trHeight w:hRule="exact" w:val="403"/>
          <w:jc w:val="center"/>
        </w:trPr>
        <w:tc>
          <w:tcPr>
            <w:tcW w:w="2919" w:type="dxa"/>
            <w:tcBorders>
              <w:top w:val="single" w:sz="4" w:space="0" w:color="auto"/>
              <w:left w:val="single" w:sz="4" w:space="0" w:color="auto"/>
            </w:tcBorders>
            <w:shd w:val="clear" w:color="auto" w:fill="D9D9D9"/>
            <w:vAlign w:val="center"/>
          </w:tcPr>
          <w:p w14:paraId="1D42615F" w14:textId="77777777" w:rsidR="00544AC9" w:rsidRPr="00E066A1" w:rsidRDefault="00544AC9" w:rsidP="00E066A1">
            <w:pPr>
              <w:pStyle w:val="Inne0"/>
              <w:spacing w:after="0" w:line="276" w:lineRule="auto"/>
              <w:jc w:val="both"/>
              <w:rPr>
                <w:rFonts w:ascii="Times New Roman" w:hAnsi="Times New Roman" w:cs="Times New Roman"/>
              </w:rPr>
            </w:pPr>
            <w:r w:rsidRPr="00E066A1">
              <w:rPr>
                <w:rFonts w:ascii="Times New Roman" w:hAnsi="Times New Roman" w:cs="Times New Roman"/>
                <w:b/>
                <w:bCs/>
                <w:color w:val="000000"/>
              </w:rPr>
              <w:t>Etapy PPZ</w:t>
            </w:r>
          </w:p>
        </w:tc>
        <w:tc>
          <w:tcPr>
            <w:tcW w:w="3119" w:type="dxa"/>
            <w:tcBorders>
              <w:top w:val="single" w:sz="4" w:space="0" w:color="auto"/>
              <w:left w:val="single" w:sz="4" w:space="0" w:color="auto"/>
            </w:tcBorders>
            <w:shd w:val="clear" w:color="auto" w:fill="D9D9D9"/>
            <w:vAlign w:val="center"/>
          </w:tcPr>
          <w:p w14:paraId="169E3B3A" w14:textId="77777777" w:rsidR="00544AC9" w:rsidRPr="00E066A1" w:rsidRDefault="00544AC9" w:rsidP="00E066A1">
            <w:pPr>
              <w:pStyle w:val="Inne0"/>
              <w:spacing w:after="0" w:line="276" w:lineRule="auto"/>
              <w:jc w:val="both"/>
              <w:rPr>
                <w:rFonts w:ascii="Times New Roman" w:hAnsi="Times New Roman" w:cs="Times New Roman"/>
              </w:rPr>
            </w:pPr>
            <w:r w:rsidRPr="00E066A1">
              <w:rPr>
                <w:rFonts w:ascii="Times New Roman" w:hAnsi="Times New Roman" w:cs="Times New Roman"/>
                <w:b/>
                <w:bCs/>
                <w:color w:val="000000"/>
              </w:rPr>
              <w:t>Kryteria włączenia</w:t>
            </w:r>
          </w:p>
        </w:tc>
        <w:tc>
          <w:tcPr>
            <w:tcW w:w="3659" w:type="dxa"/>
            <w:tcBorders>
              <w:top w:val="single" w:sz="4" w:space="0" w:color="auto"/>
              <w:left w:val="single" w:sz="4" w:space="0" w:color="auto"/>
              <w:right w:val="single" w:sz="4" w:space="0" w:color="auto"/>
            </w:tcBorders>
            <w:shd w:val="clear" w:color="auto" w:fill="D9D9D9"/>
            <w:vAlign w:val="center"/>
          </w:tcPr>
          <w:p w14:paraId="4F52DF02" w14:textId="77777777" w:rsidR="00544AC9" w:rsidRPr="00E066A1" w:rsidRDefault="00544AC9" w:rsidP="00E066A1">
            <w:pPr>
              <w:pStyle w:val="Inne0"/>
              <w:spacing w:after="0" w:line="276" w:lineRule="auto"/>
              <w:jc w:val="both"/>
              <w:rPr>
                <w:rFonts w:ascii="Times New Roman" w:hAnsi="Times New Roman" w:cs="Times New Roman"/>
              </w:rPr>
            </w:pPr>
            <w:r w:rsidRPr="00E066A1">
              <w:rPr>
                <w:rFonts w:ascii="Times New Roman" w:hAnsi="Times New Roman" w:cs="Times New Roman"/>
                <w:b/>
                <w:bCs/>
                <w:color w:val="000000"/>
              </w:rPr>
              <w:t>Kryteria wyłączenia</w:t>
            </w:r>
          </w:p>
        </w:tc>
      </w:tr>
      <w:tr w:rsidR="00544AC9" w:rsidRPr="00E066A1" w14:paraId="42D1468A" w14:textId="77777777" w:rsidTr="00AC27DA">
        <w:trPr>
          <w:trHeight w:hRule="exact" w:val="2386"/>
          <w:jc w:val="center"/>
        </w:trPr>
        <w:tc>
          <w:tcPr>
            <w:tcW w:w="2919" w:type="dxa"/>
            <w:tcBorders>
              <w:top w:val="single" w:sz="4" w:space="0" w:color="auto"/>
              <w:left w:val="single" w:sz="4" w:space="0" w:color="auto"/>
            </w:tcBorders>
            <w:shd w:val="clear" w:color="auto" w:fill="FFFFFF"/>
          </w:tcPr>
          <w:p w14:paraId="3D944B11" w14:textId="77777777" w:rsidR="00544AC9" w:rsidRPr="00E066A1" w:rsidRDefault="00544AC9" w:rsidP="00AC27DA">
            <w:pPr>
              <w:pStyle w:val="Inne0"/>
              <w:spacing w:after="0" w:line="276" w:lineRule="auto"/>
              <w:rPr>
                <w:rFonts w:ascii="Times New Roman" w:hAnsi="Times New Roman" w:cs="Times New Roman"/>
              </w:rPr>
            </w:pPr>
            <w:r w:rsidRPr="00E066A1">
              <w:rPr>
                <w:rFonts w:ascii="Times New Roman" w:hAnsi="Times New Roman" w:cs="Times New Roman"/>
                <w:color w:val="000000"/>
              </w:rPr>
              <w:t>Szkolenia personelu medycznego</w:t>
            </w:r>
          </w:p>
        </w:tc>
        <w:tc>
          <w:tcPr>
            <w:tcW w:w="3119" w:type="dxa"/>
            <w:tcBorders>
              <w:top w:val="single" w:sz="4" w:space="0" w:color="auto"/>
              <w:left w:val="single" w:sz="4" w:space="0" w:color="auto"/>
            </w:tcBorders>
            <w:shd w:val="clear" w:color="auto" w:fill="FFFFFF"/>
          </w:tcPr>
          <w:p w14:paraId="7D10AC5B" w14:textId="4FA1FCFE" w:rsidR="00544AC9" w:rsidRPr="00E066A1" w:rsidRDefault="00544AC9" w:rsidP="00AC27DA">
            <w:pPr>
              <w:pStyle w:val="Inne0"/>
              <w:tabs>
                <w:tab w:val="left" w:pos="360"/>
              </w:tabs>
              <w:spacing w:after="0" w:line="276" w:lineRule="auto"/>
              <w:rPr>
                <w:rFonts w:ascii="Times New Roman" w:hAnsi="Times New Roman" w:cs="Times New Roman"/>
              </w:rPr>
            </w:pPr>
            <w:r w:rsidRPr="00E066A1">
              <w:rPr>
                <w:rFonts w:ascii="Times New Roman" w:hAnsi="Times New Roman" w:cs="Times New Roman"/>
                <w:color w:val="000000"/>
              </w:rPr>
              <w:t>personel medyczny</w:t>
            </w:r>
          </w:p>
          <w:p w14:paraId="03B10F74" w14:textId="77777777" w:rsidR="00544AC9" w:rsidRPr="00E066A1" w:rsidRDefault="00544AC9" w:rsidP="00AC27DA">
            <w:pPr>
              <w:pStyle w:val="Inne0"/>
              <w:spacing w:after="0" w:line="276" w:lineRule="auto"/>
              <w:rPr>
                <w:rFonts w:ascii="Times New Roman" w:hAnsi="Times New Roman" w:cs="Times New Roman"/>
              </w:rPr>
            </w:pPr>
            <w:r w:rsidRPr="00E066A1">
              <w:rPr>
                <w:rFonts w:ascii="Times New Roman" w:hAnsi="Times New Roman" w:cs="Times New Roman"/>
                <w:color w:val="000000"/>
              </w:rPr>
              <w:t>zaangażowany w realizację programu, który będzie miał kontakt ze świadczeniobiorcami, np.: lekarze, pielęgniarki, koordynatorzy opieki medycznej</w:t>
            </w:r>
          </w:p>
        </w:tc>
        <w:tc>
          <w:tcPr>
            <w:tcW w:w="3659" w:type="dxa"/>
            <w:tcBorders>
              <w:top w:val="single" w:sz="4" w:space="0" w:color="auto"/>
              <w:left w:val="single" w:sz="4" w:space="0" w:color="auto"/>
              <w:right w:val="single" w:sz="4" w:space="0" w:color="auto"/>
            </w:tcBorders>
            <w:shd w:val="clear" w:color="auto" w:fill="FFFFFF"/>
            <w:vAlign w:val="center"/>
          </w:tcPr>
          <w:p w14:paraId="1263C7E9" w14:textId="3DAEB008" w:rsidR="00E066A1" w:rsidRPr="00AC27DA" w:rsidRDefault="00544AC9">
            <w:pPr>
              <w:pStyle w:val="Inne0"/>
              <w:numPr>
                <w:ilvl w:val="0"/>
                <w:numId w:val="33"/>
              </w:numPr>
              <w:tabs>
                <w:tab w:val="left" w:pos="341"/>
              </w:tabs>
              <w:spacing w:line="276" w:lineRule="auto"/>
              <w:rPr>
                <w:rFonts w:ascii="Times New Roman" w:hAnsi="Times New Roman" w:cs="Times New Roman"/>
              </w:rPr>
            </w:pPr>
            <w:r w:rsidRPr="00E066A1">
              <w:rPr>
                <w:rFonts w:ascii="Times New Roman" w:hAnsi="Times New Roman" w:cs="Times New Roman"/>
                <w:color w:val="000000"/>
              </w:rPr>
              <w:t>ukończenie szkolenia dla personelu medycznego obejmującego tę samą tematykę i poziom szczegółowości w ciągu poprzednich 2 lat;</w:t>
            </w:r>
          </w:p>
          <w:p w14:paraId="7962151F" w14:textId="2E05EE21" w:rsidR="00544AC9" w:rsidRPr="00AC27DA" w:rsidRDefault="00544AC9">
            <w:pPr>
              <w:pStyle w:val="Inne0"/>
              <w:numPr>
                <w:ilvl w:val="0"/>
                <w:numId w:val="33"/>
              </w:numPr>
              <w:tabs>
                <w:tab w:val="left" w:pos="341"/>
              </w:tabs>
              <w:spacing w:line="276" w:lineRule="auto"/>
              <w:rPr>
                <w:rFonts w:ascii="Times New Roman" w:hAnsi="Times New Roman" w:cs="Times New Roman"/>
              </w:rPr>
            </w:pPr>
            <w:r w:rsidRPr="00AC27DA">
              <w:rPr>
                <w:rFonts w:ascii="Times New Roman" w:hAnsi="Times New Roman" w:cs="Times New Roman"/>
                <w:color w:val="000000"/>
              </w:rPr>
              <w:t>wiedza i doświadczenie</w:t>
            </w:r>
            <w:r w:rsidR="00E066A1" w:rsidRPr="00AC27DA">
              <w:rPr>
                <w:rFonts w:ascii="Times New Roman" w:hAnsi="Times New Roman" w:cs="Times New Roman"/>
              </w:rPr>
              <w:t xml:space="preserve"> </w:t>
            </w:r>
            <w:r w:rsidRPr="00AC27DA">
              <w:rPr>
                <w:rFonts w:ascii="Times New Roman" w:hAnsi="Times New Roman" w:cs="Times New Roman"/>
                <w:color w:val="000000"/>
              </w:rPr>
              <w:t>w przedmiotowym zakresie na poziomie eksperckim;</w:t>
            </w:r>
          </w:p>
        </w:tc>
      </w:tr>
      <w:tr w:rsidR="00544AC9" w:rsidRPr="00E066A1" w14:paraId="2D03FA6E" w14:textId="77777777" w:rsidTr="00AC27DA">
        <w:trPr>
          <w:trHeight w:hRule="exact" w:val="1296"/>
          <w:jc w:val="center"/>
        </w:trPr>
        <w:tc>
          <w:tcPr>
            <w:tcW w:w="2919" w:type="dxa"/>
            <w:tcBorders>
              <w:top w:val="single" w:sz="4" w:space="0" w:color="auto"/>
              <w:left w:val="single" w:sz="4" w:space="0" w:color="auto"/>
            </w:tcBorders>
            <w:shd w:val="clear" w:color="auto" w:fill="FFFFFF"/>
          </w:tcPr>
          <w:p w14:paraId="718BF4C5" w14:textId="77777777" w:rsidR="00544AC9" w:rsidRPr="00E066A1" w:rsidRDefault="00544AC9" w:rsidP="00AC27DA">
            <w:pPr>
              <w:pStyle w:val="Inne0"/>
              <w:tabs>
                <w:tab w:val="left" w:pos="1598"/>
              </w:tabs>
              <w:spacing w:after="0" w:line="276" w:lineRule="auto"/>
              <w:rPr>
                <w:rFonts w:ascii="Times New Roman" w:hAnsi="Times New Roman" w:cs="Times New Roman"/>
              </w:rPr>
            </w:pPr>
            <w:r w:rsidRPr="00E066A1">
              <w:rPr>
                <w:rFonts w:ascii="Times New Roman" w:hAnsi="Times New Roman" w:cs="Times New Roman"/>
                <w:color w:val="000000"/>
              </w:rPr>
              <w:t>Działania</w:t>
            </w:r>
            <w:r w:rsidRPr="00E066A1">
              <w:rPr>
                <w:rFonts w:ascii="Times New Roman" w:hAnsi="Times New Roman" w:cs="Times New Roman"/>
                <w:color w:val="000000"/>
              </w:rPr>
              <w:tab/>
              <w:t>informacyjno-</w:t>
            </w:r>
          </w:p>
          <w:p w14:paraId="213A2533" w14:textId="77777777" w:rsidR="00544AC9" w:rsidRPr="00E066A1" w:rsidRDefault="00544AC9" w:rsidP="00AC27DA">
            <w:pPr>
              <w:pStyle w:val="Inne0"/>
              <w:spacing w:after="0" w:line="276" w:lineRule="auto"/>
              <w:rPr>
                <w:rFonts w:ascii="Times New Roman" w:hAnsi="Times New Roman" w:cs="Times New Roman"/>
              </w:rPr>
            </w:pPr>
            <w:r w:rsidRPr="00E066A1">
              <w:rPr>
                <w:rFonts w:ascii="Times New Roman" w:hAnsi="Times New Roman" w:cs="Times New Roman"/>
                <w:color w:val="000000"/>
              </w:rPr>
              <w:t>edukacyjne</w:t>
            </w:r>
          </w:p>
        </w:tc>
        <w:tc>
          <w:tcPr>
            <w:tcW w:w="3119" w:type="dxa"/>
            <w:tcBorders>
              <w:top w:val="single" w:sz="4" w:space="0" w:color="auto"/>
              <w:left w:val="single" w:sz="4" w:space="0" w:color="auto"/>
            </w:tcBorders>
            <w:shd w:val="clear" w:color="auto" w:fill="FFFFFF"/>
          </w:tcPr>
          <w:p w14:paraId="4EB1E447" w14:textId="1C433EAE" w:rsidR="00544AC9" w:rsidRPr="00E066A1" w:rsidRDefault="00544AC9" w:rsidP="00AC27DA">
            <w:pPr>
              <w:pStyle w:val="Inne0"/>
              <w:tabs>
                <w:tab w:val="left" w:pos="355"/>
              </w:tabs>
              <w:spacing w:after="0" w:line="276" w:lineRule="auto"/>
              <w:rPr>
                <w:rFonts w:ascii="Times New Roman" w:hAnsi="Times New Roman" w:cs="Times New Roman"/>
              </w:rPr>
            </w:pPr>
            <w:r w:rsidRPr="00E066A1">
              <w:rPr>
                <w:rFonts w:ascii="Times New Roman" w:hAnsi="Times New Roman" w:cs="Times New Roman"/>
                <w:color w:val="000000"/>
              </w:rPr>
              <w:t>osoba dorosła</w:t>
            </w:r>
          </w:p>
        </w:tc>
        <w:tc>
          <w:tcPr>
            <w:tcW w:w="3659" w:type="dxa"/>
            <w:tcBorders>
              <w:top w:val="single" w:sz="4" w:space="0" w:color="auto"/>
              <w:left w:val="single" w:sz="4" w:space="0" w:color="auto"/>
              <w:right w:val="single" w:sz="4" w:space="0" w:color="auto"/>
            </w:tcBorders>
            <w:shd w:val="clear" w:color="auto" w:fill="FFFFFF"/>
            <w:vAlign w:val="center"/>
          </w:tcPr>
          <w:p w14:paraId="198F4DF7" w14:textId="54CD8418" w:rsidR="00544AC9" w:rsidRPr="00E066A1" w:rsidRDefault="00544AC9" w:rsidP="00AC27DA">
            <w:pPr>
              <w:pStyle w:val="Inne0"/>
              <w:tabs>
                <w:tab w:val="left" w:pos="360"/>
              </w:tabs>
              <w:spacing w:after="0" w:line="276" w:lineRule="auto"/>
              <w:rPr>
                <w:rFonts w:ascii="Times New Roman" w:hAnsi="Times New Roman" w:cs="Times New Roman"/>
              </w:rPr>
            </w:pPr>
            <w:r w:rsidRPr="00E066A1">
              <w:rPr>
                <w:rFonts w:ascii="Times New Roman" w:hAnsi="Times New Roman" w:cs="Times New Roman"/>
                <w:color w:val="000000"/>
              </w:rPr>
              <w:t>uczestnictwo w działaniach</w:t>
            </w:r>
          </w:p>
          <w:p w14:paraId="29AEABDD" w14:textId="77777777" w:rsidR="00544AC9" w:rsidRPr="00E066A1" w:rsidRDefault="00544AC9" w:rsidP="00AC27DA">
            <w:pPr>
              <w:pStyle w:val="Inne0"/>
              <w:spacing w:after="0" w:line="276" w:lineRule="auto"/>
              <w:rPr>
                <w:rFonts w:ascii="Times New Roman" w:hAnsi="Times New Roman" w:cs="Times New Roman"/>
              </w:rPr>
            </w:pPr>
            <w:r w:rsidRPr="00E066A1">
              <w:rPr>
                <w:rFonts w:ascii="Times New Roman" w:hAnsi="Times New Roman" w:cs="Times New Roman"/>
                <w:color w:val="000000"/>
              </w:rPr>
              <w:t>edukacyjnych obejmujących tę samą tematykę w ciągu poprzednich 2 lat;</w:t>
            </w:r>
          </w:p>
        </w:tc>
      </w:tr>
      <w:tr w:rsidR="00544AC9" w:rsidRPr="00E066A1" w14:paraId="4397CF37" w14:textId="77777777" w:rsidTr="00AC27DA">
        <w:trPr>
          <w:trHeight w:hRule="exact" w:val="3722"/>
          <w:jc w:val="center"/>
        </w:trPr>
        <w:tc>
          <w:tcPr>
            <w:tcW w:w="2919" w:type="dxa"/>
            <w:tcBorders>
              <w:top w:val="single" w:sz="4" w:space="0" w:color="auto"/>
              <w:left w:val="single" w:sz="4" w:space="0" w:color="auto"/>
            </w:tcBorders>
            <w:shd w:val="clear" w:color="auto" w:fill="FFFFFF"/>
          </w:tcPr>
          <w:p w14:paraId="0CAB09D5" w14:textId="77777777" w:rsidR="00544AC9" w:rsidRPr="00E066A1" w:rsidRDefault="00544AC9" w:rsidP="00AC27DA">
            <w:pPr>
              <w:pStyle w:val="Inne0"/>
              <w:spacing w:after="0" w:line="276" w:lineRule="auto"/>
              <w:rPr>
                <w:rFonts w:ascii="Times New Roman" w:hAnsi="Times New Roman" w:cs="Times New Roman"/>
              </w:rPr>
            </w:pPr>
            <w:r w:rsidRPr="00E066A1">
              <w:rPr>
                <w:rFonts w:ascii="Times New Roman" w:hAnsi="Times New Roman" w:cs="Times New Roman"/>
                <w:color w:val="000000"/>
              </w:rPr>
              <w:t>Ocena ryzyka poważnego złamania osteoporotycznego narzędziem FRAX</w:t>
            </w:r>
          </w:p>
        </w:tc>
        <w:tc>
          <w:tcPr>
            <w:tcW w:w="3119" w:type="dxa"/>
            <w:tcBorders>
              <w:top w:val="single" w:sz="4" w:space="0" w:color="auto"/>
              <w:left w:val="single" w:sz="4" w:space="0" w:color="auto"/>
            </w:tcBorders>
            <w:shd w:val="clear" w:color="auto" w:fill="FFFFFF"/>
            <w:vAlign w:val="center"/>
          </w:tcPr>
          <w:p w14:paraId="18A4E8E1" w14:textId="60289019" w:rsidR="00544AC9" w:rsidRPr="00AC27DA" w:rsidRDefault="00544AC9">
            <w:pPr>
              <w:pStyle w:val="Inne0"/>
              <w:numPr>
                <w:ilvl w:val="0"/>
                <w:numId w:val="34"/>
              </w:numPr>
              <w:tabs>
                <w:tab w:val="left" w:pos="355"/>
              </w:tabs>
              <w:spacing w:line="276" w:lineRule="auto"/>
              <w:rPr>
                <w:rFonts w:ascii="Times New Roman" w:hAnsi="Times New Roman" w:cs="Times New Roman"/>
              </w:rPr>
            </w:pPr>
            <w:r w:rsidRPr="00E066A1">
              <w:rPr>
                <w:rFonts w:ascii="Times New Roman" w:hAnsi="Times New Roman" w:cs="Times New Roman"/>
                <w:color w:val="000000"/>
              </w:rPr>
              <w:t>kobiety w wieku &gt;65 lat, lub kobiety w wieku 40-64 lat z co najmniej jednym dodatkowym czynnikiem ryzyka złamania osteoporotycznego, lub mężczyźni w wieku &gt;75 lat (po objęciu działaniami całej populacji kobiet)</w:t>
            </w:r>
          </w:p>
          <w:p w14:paraId="0986B192" w14:textId="77777777" w:rsidR="00544AC9" w:rsidRPr="00AC27DA" w:rsidRDefault="00544AC9">
            <w:pPr>
              <w:pStyle w:val="Inne0"/>
              <w:numPr>
                <w:ilvl w:val="0"/>
                <w:numId w:val="34"/>
              </w:numPr>
              <w:tabs>
                <w:tab w:val="left" w:pos="355"/>
              </w:tabs>
              <w:spacing w:line="276" w:lineRule="auto"/>
              <w:rPr>
                <w:rFonts w:ascii="Times New Roman" w:hAnsi="Times New Roman" w:cs="Times New Roman"/>
              </w:rPr>
            </w:pPr>
            <w:r w:rsidRPr="00AC27DA">
              <w:rPr>
                <w:rFonts w:ascii="Times New Roman" w:hAnsi="Times New Roman" w:cs="Times New Roman"/>
                <w:color w:val="000000"/>
              </w:rPr>
              <w:t>podanie w formularzu zgłoszeniowym kompletu informacji niezbędnych do użycia narzędzia FRAX</w:t>
            </w:r>
          </w:p>
        </w:tc>
        <w:tc>
          <w:tcPr>
            <w:tcW w:w="3659" w:type="dxa"/>
            <w:tcBorders>
              <w:top w:val="single" w:sz="4" w:space="0" w:color="auto"/>
              <w:left w:val="single" w:sz="4" w:space="0" w:color="auto"/>
              <w:right w:val="single" w:sz="4" w:space="0" w:color="auto"/>
            </w:tcBorders>
            <w:shd w:val="clear" w:color="auto" w:fill="FFFFFF"/>
          </w:tcPr>
          <w:p w14:paraId="11E2C477" w14:textId="03422666" w:rsidR="00544AC9" w:rsidRPr="00E066A1" w:rsidRDefault="00544AC9" w:rsidP="00AC27DA">
            <w:pPr>
              <w:pStyle w:val="Inne0"/>
              <w:tabs>
                <w:tab w:val="left" w:pos="346"/>
              </w:tabs>
              <w:spacing w:after="0" w:line="276" w:lineRule="auto"/>
              <w:rPr>
                <w:rFonts w:ascii="Times New Roman" w:hAnsi="Times New Roman" w:cs="Times New Roman"/>
              </w:rPr>
            </w:pPr>
            <w:r w:rsidRPr="00E066A1">
              <w:rPr>
                <w:rFonts w:ascii="Times New Roman" w:hAnsi="Times New Roman" w:cs="Times New Roman"/>
                <w:color w:val="000000"/>
              </w:rPr>
              <w:t>wcześniej zdiagnozowana</w:t>
            </w:r>
            <w:r w:rsidR="00AC27DA">
              <w:rPr>
                <w:rFonts w:ascii="Times New Roman" w:hAnsi="Times New Roman" w:cs="Times New Roman"/>
              </w:rPr>
              <w:t xml:space="preserve"> </w:t>
            </w:r>
            <w:r w:rsidRPr="00E066A1">
              <w:rPr>
                <w:rFonts w:ascii="Times New Roman" w:hAnsi="Times New Roman" w:cs="Times New Roman"/>
                <w:color w:val="000000"/>
              </w:rPr>
              <w:t>osteoporoza;</w:t>
            </w:r>
          </w:p>
        </w:tc>
      </w:tr>
      <w:tr w:rsidR="00544AC9" w:rsidRPr="00E066A1" w14:paraId="7C3E5B42" w14:textId="77777777" w:rsidTr="00AC27DA">
        <w:trPr>
          <w:trHeight w:hRule="exact" w:val="3534"/>
          <w:jc w:val="center"/>
        </w:trPr>
        <w:tc>
          <w:tcPr>
            <w:tcW w:w="2919" w:type="dxa"/>
            <w:tcBorders>
              <w:top w:val="single" w:sz="4" w:space="0" w:color="auto"/>
              <w:left w:val="single" w:sz="4" w:space="0" w:color="auto"/>
              <w:bottom w:val="single" w:sz="4" w:space="0" w:color="auto"/>
            </w:tcBorders>
            <w:shd w:val="clear" w:color="auto" w:fill="FFFFFF"/>
          </w:tcPr>
          <w:p w14:paraId="31F53D7C" w14:textId="77777777" w:rsidR="00544AC9" w:rsidRPr="00E066A1" w:rsidRDefault="00544AC9" w:rsidP="00AC27DA">
            <w:pPr>
              <w:pStyle w:val="Inne0"/>
              <w:spacing w:after="0" w:line="276" w:lineRule="auto"/>
              <w:rPr>
                <w:rFonts w:ascii="Times New Roman" w:hAnsi="Times New Roman" w:cs="Times New Roman"/>
              </w:rPr>
            </w:pPr>
            <w:r w:rsidRPr="00E066A1">
              <w:rPr>
                <w:rFonts w:ascii="Times New Roman" w:hAnsi="Times New Roman" w:cs="Times New Roman"/>
                <w:color w:val="000000"/>
              </w:rPr>
              <w:t>Pomiar BMD za pomocą DXA</w:t>
            </w:r>
          </w:p>
        </w:tc>
        <w:tc>
          <w:tcPr>
            <w:tcW w:w="3119" w:type="dxa"/>
            <w:tcBorders>
              <w:top w:val="single" w:sz="4" w:space="0" w:color="auto"/>
              <w:left w:val="single" w:sz="4" w:space="0" w:color="auto"/>
              <w:bottom w:val="single" w:sz="4" w:space="0" w:color="auto"/>
            </w:tcBorders>
            <w:shd w:val="clear" w:color="auto" w:fill="FFFFFF"/>
          </w:tcPr>
          <w:p w14:paraId="6761B537" w14:textId="696D4ED8" w:rsidR="00544AC9" w:rsidRPr="00AC27DA" w:rsidRDefault="00544AC9" w:rsidP="00BF0405">
            <w:pPr>
              <w:pStyle w:val="Inne0"/>
              <w:tabs>
                <w:tab w:val="left" w:pos="346"/>
              </w:tabs>
              <w:spacing w:after="0" w:line="276" w:lineRule="auto"/>
              <w:rPr>
                <w:rFonts w:ascii="Times New Roman" w:hAnsi="Times New Roman" w:cs="Times New Roman"/>
              </w:rPr>
            </w:pPr>
            <w:r w:rsidRPr="00E066A1">
              <w:rPr>
                <w:rFonts w:ascii="Times New Roman" w:hAnsi="Times New Roman" w:cs="Times New Roman"/>
                <w:color w:val="000000"/>
              </w:rPr>
              <w:t>zakwalifikowanie w ramach</w:t>
            </w:r>
            <w:r w:rsidR="00AC27DA">
              <w:rPr>
                <w:rFonts w:ascii="Times New Roman" w:hAnsi="Times New Roman" w:cs="Times New Roman"/>
              </w:rPr>
              <w:t xml:space="preserve"> </w:t>
            </w:r>
            <w:r w:rsidRPr="00AC27DA">
              <w:rPr>
                <w:rFonts w:ascii="Times New Roman" w:hAnsi="Times New Roman" w:cs="Times New Roman"/>
                <w:color w:val="000000"/>
              </w:rPr>
              <w:t>programu przez uzyskanie wyniku FRAX &gt;5% (wartość obliczana i wpisywana przez osobę przyjmującą formularz zgłoszeniowy na podstawie zawartych w nim danych)</w:t>
            </w:r>
          </w:p>
        </w:tc>
        <w:tc>
          <w:tcPr>
            <w:tcW w:w="3659" w:type="dxa"/>
            <w:tcBorders>
              <w:top w:val="single" w:sz="4" w:space="0" w:color="auto"/>
              <w:left w:val="single" w:sz="4" w:space="0" w:color="auto"/>
              <w:bottom w:val="single" w:sz="4" w:space="0" w:color="auto"/>
              <w:right w:val="single" w:sz="4" w:space="0" w:color="auto"/>
            </w:tcBorders>
            <w:shd w:val="clear" w:color="auto" w:fill="FFFFFF"/>
            <w:vAlign w:val="bottom"/>
          </w:tcPr>
          <w:p w14:paraId="78FA5657" w14:textId="77777777" w:rsidR="00BF0405" w:rsidRDefault="00544AC9">
            <w:pPr>
              <w:pStyle w:val="Inne0"/>
              <w:numPr>
                <w:ilvl w:val="0"/>
                <w:numId w:val="35"/>
              </w:numPr>
              <w:tabs>
                <w:tab w:val="left" w:pos="355"/>
              </w:tabs>
              <w:spacing w:after="0" w:line="276" w:lineRule="auto"/>
              <w:rPr>
                <w:rFonts w:ascii="Times New Roman" w:hAnsi="Times New Roman" w:cs="Times New Roman"/>
              </w:rPr>
            </w:pPr>
            <w:r w:rsidRPr="00E066A1">
              <w:rPr>
                <w:rFonts w:ascii="Times New Roman" w:hAnsi="Times New Roman" w:cs="Times New Roman"/>
                <w:color w:val="000000"/>
              </w:rPr>
              <w:t>ostatni pomiar</w:t>
            </w:r>
            <w:r w:rsidR="00AC27DA">
              <w:rPr>
                <w:rFonts w:ascii="Times New Roman" w:hAnsi="Times New Roman" w:cs="Times New Roman"/>
              </w:rPr>
              <w:t xml:space="preserve"> </w:t>
            </w:r>
            <w:r w:rsidRPr="00AC27DA">
              <w:rPr>
                <w:rFonts w:ascii="Times New Roman" w:hAnsi="Times New Roman" w:cs="Times New Roman"/>
                <w:color w:val="000000"/>
              </w:rPr>
              <w:t>u świadczeniobiorcy BMD za pomocą DXA na szyjce kości udowej w ciągu poprzednich 2 lat przy jednoczesnym braku nowych czynników ryzyka od czasu tego pomiaru</w:t>
            </w:r>
            <w:r w:rsidR="00AC27DA">
              <w:rPr>
                <w:rFonts w:ascii="Times New Roman" w:hAnsi="Times New Roman" w:cs="Times New Roman"/>
              </w:rPr>
              <w:t xml:space="preserve"> </w:t>
            </w:r>
          </w:p>
          <w:p w14:paraId="73465036" w14:textId="36CF45A3" w:rsidR="00AC27DA" w:rsidRPr="00BF0405" w:rsidRDefault="00544AC9">
            <w:pPr>
              <w:pStyle w:val="Inne0"/>
              <w:numPr>
                <w:ilvl w:val="0"/>
                <w:numId w:val="35"/>
              </w:numPr>
              <w:tabs>
                <w:tab w:val="left" w:pos="355"/>
              </w:tabs>
              <w:spacing w:after="0" w:line="276" w:lineRule="auto"/>
              <w:rPr>
                <w:rFonts w:ascii="Times New Roman" w:hAnsi="Times New Roman" w:cs="Times New Roman"/>
              </w:rPr>
            </w:pPr>
            <w:r w:rsidRPr="00AC27DA">
              <w:rPr>
                <w:rFonts w:ascii="Times New Roman" w:hAnsi="Times New Roman" w:cs="Times New Roman"/>
                <w:color w:val="000000"/>
              </w:rPr>
              <w:t>obecność</w:t>
            </w:r>
            <w:r w:rsidR="00AC27DA">
              <w:rPr>
                <w:rFonts w:ascii="Times New Roman" w:hAnsi="Times New Roman" w:cs="Times New Roman"/>
                <w:color w:val="000000"/>
              </w:rPr>
              <w:t xml:space="preserve"> </w:t>
            </w:r>
            <w:r w:rsidRPr="00AC27DA">
              <w:rPr>
                <w:rFonts w:ascii="Times New Roman" w:hAnsi="Times New Roman" w:cs="Times New Roman"/>
                <w:color w:val="000000"/>
              </w:rPr>
              <w:t>przeciwwskazań do pomiaru DXA przez</w:t>
            </w:r>
            <w:r w:rsidR="00AC27DA" w:rsidRPr="00AC27DA">
              <w:rPr>
                <w:rFonts w:ascii="Times New Roman" w:hAnsi="Times New Roman" w:cs="Times New Roman"/>
                <w:color w:val="000000"/>
              </w:rPr>
              <w:t xml:space="preserve"> szyjkę kości udowej, np. obustronna endoproteza całkowita stawu biodrowego, znaczna otyłość;</w:t>
            </w:r>
          </w:p>
          <w:p w14:paraId="1605EC13" w14:textId="3A1B03DC" w:rsidR="00544AC9" w:rsidRPr="00BF0405" w:rsidRDefault="00AC27DA">
            <w:pPr>
              <w:pStyle w:val="Inne0"/>
              <w:numPr>
                <w:ilvl w:val="0"/>
                <w:numId w:val="35"/>
              </w:numPr>
              <w:tabs>
                <w:tab w:val="left" w:pos="355"/>
              </w:tabs>
              <w:spacing w:after="0" w:line="276" w:lineRule="auto"/>
              <w:rPr>
                <w:rFonts w:ascii="Times New Roman" w:hAnsi="Times New Roman" w:cs="Times New Roman"/>
              </w:rPr>
            </w:pPr>
            <w:r w:rsidRPr="00BF0405">
              <w:rPr>
                <w:rFonts w:ascii="Times New Roman" w:hAnsi="Times New Roman" w:cs="Times New Roman"/>
                <w:color w:val="000000"/>
              </w:rPr>
              <w:t>obecność innych</w:t>
            </w:r>
            <w:r w:rsidR="00BF0405">
              <w:rPr>
                <w:rFonts w:ascii="Times New Roman" w:hAnsi="Times New Roman" w:cs="Times New Roman"/>
              </w:rPr>
              <w:t xml:space="preserve"> </w:t>
            </w:r>
            <w:r w:rsidRPr="00BF0405">
              <w:rPr>
                <w:rFonts w:ascii="Times New Roman" w:hAnsi="Times New Roman" w:cs="Times New Roman"/>
                <w:color w:val="000000"/>
              </w:rPr>
              <w:t>przeciwwskazań, np. ciąża;</w:t>
            </w:r>
          </w:p>
        </w:tc>
      </w:tr>
      <w:tr w:rsidR="00544AC9" w:rsidRPr="00E066A1" w14:paraId="364E1D9E" w14:textId="77777777" w:rsidTr="00AC27DA">
        <w:trPr>
          <w:trHeight w:hRule="exact" w:val="1109"/>
          <w:jc w:val="center"/>
        </w:trPr>
        <w:tc>
          <w:tcPr>
            <w:tcW w:w="2919" w:type="dxa"/>
            <w:tcBorders>
              <w:top w:val="single" w:sz="4" w:space="0" w:color="auto"/>
              <w:left w:val="single" w:sz="4" w:space="0" w:color="auto"/>
              <w:bottom w:val="single" w:sz="4" w:space="0" w:color="auto"/>
            </w:tcBorders>
            <w:shd w:val="clear" w:color="auto" w:fill="FFFFFF"/>
          </w:tcPr>
          <w:p w14:paraId="4F82CADA" w14:textId="77777777" w:rsidR="00544AC9" w:rsidRPr="00E066A1" w:rsidRDefault="00544AC9" w:rsidP="00AC27DA">
            <w:pPr>
              <w:pStyle w:val="Inne0"/>
              <w:spacing w:after="0" w:line="276" w:lineRule="auto"/>
              <w:rPr>
                <w:rFonts w:ascii="Times New Roman" w:hAnsi="Times New Roman" w:cs="Times New Roman"/>
              </w:rPr>
            </w:pPr>
            <w:r w:rsidRPr="00E066A1">
              <w:rPr>
                <w:rFonts w:ascii="Times New Roman" w:hAnsi="Times New Roman" w:cs="Times New Roman"/>
                <w:color w:val="000000"/>
              </w:rPr>
              <w:t>Lekarska wizyta podsumowująca</w:t>
            </w:r>
          </w:p>
        </w:tc>
        <w:tc>
          <w:tcPr>
            <w:tcW w:w="3119" w:type="dxa"/>
            <w:tcBorders>
              <w:top w:val="single" w:sz="4" w:space="0" w:color="auto"/>
              <w:left w:val="single" w:sz="4" w:space="0" w:color="auto"/>
              <w:bottom w:val="single" w:sz="4" w:space="0" w:color="auto"/>
            </w:tcBorders>
            <w:shd w:val="clear" w:color="auto" w:fill="FFFFFF"/>
            <w:vAlign w:val="center"/>
          </w:tcPr>
          <w:p w14:paraId="6F86F1AC" w14:textId="1E662091" w:rsidR="00544AC9" w:rsidRPr="00BF0405" w:rsidRDefault="00544AC9" w:rsidP="00BF0405">
            <w:pPr>
              <w:pStyle w:val="Inne0"/>
              <w:tabs>
                <w:tab w:val="left" w:pos="346"/>
              </w:tabs>
              <w:spacing w:after="0" w:line="276" w:lineRule="auto"/>
              <w:rPr>
                <w:rFonts w:ascii="Times New Roman" w:hAnsi="Times New Roman" w:cs="Times New Roman"/>
              </w:rPr>
            </w:pPr>
            <w:r w:rsidRPr="00E066A1">
              <w:rPr>
                <w:rFonts w:ascii="Times New Roman" w:hAnsi="Times New Roman" w:cs="Times New Roman"/>
                <w:color w:val="000000"/>
              </w:rPr>
              <w:t>dostępny wynik pomiaru</w:t>
            </w:r>
            <w:r w:rsidR="00BF0405">
              <w:rPr>
                <w:rFonts w:ascii="Times New Roman" w:hAnsi="Times New Roman" w:cs="Times New Roman"/>
              </w:rPr>
              <w:t xml:space="preserve"> </w:t>
            </w:r>
            <w:r w:rsidRPr="00BF0405">
              <w:rPr>
                <w:rFonts w:ascii="Times New Roman" w:hAnsi="Times New Roman" w:cs="Times New Roman"/>
                <w:color w:val="000000"/>
              </w:rPr>
              <w:t>BMD za pomocą DXA wykonany w ramach realizowanego PPZ</w:t>
            </w:r>
          </w:p>
        </w:tc>
        <w:tc>
          <w:tcPr>
            <w:tcW w:w="3659" w:type="dxa"/>
            <w:tcBorders>
              <w:top w:val="single" w:sz="4" w:space="0" w:color="auto"/>
              <w:left w:val="single" w:sz="4" w:space="0" w:color="auto"/>
              <w:bottom w:val="single" w:sz="4" w:space="0" w:color="auto"/>
              <w:right w:val="single" w:sz="4" w:space="0" w:color="auto"/>
            </w:tcBorders>
            <w:shd w:val="clear" w:color="auto" w:fill="FFFFFF"/>
          </w:tcPr>
          <w:p w14:paraId="26F23E56" w14:textId="77777777" w:rsidR="00544AC9" w:rsidRPr="00E066A1" w:rsidRDefault="00544AC9" w:rsidP="00AC27DA">
            <w:pPr>
              <w:pStyle w:val="Inne0"/>
              <w:spacing w:after="0" w:line="276" w:lineRule="auto"/>
              <w:rPr>
                <w:rFonts w:ascii="Times New Roman" w:hAnsi="Times New Roman" w:cs="Times New Roman"/>
              </w:rPr>
            </w:pPr>
            <w:r w:rsidRPr="00E066A1">
              <w:rPr>
                <w:rFonts w:ascii="Times New Roman" w:hAnsi="Times New Roman" w:cs="Times New Roman"/>
                <w:color w:val="000000"/>
              </w:rPr>
              <w:t>Brak.</w:t>
            </w:r>
          </w:p>
        </w:tc>
      </w:tr>
    </w:tbl>
    <w:p w14:paraId="4030C37B" w14:textId="4EFC192A" w:rsidR="00544AC9" w:rsidRDefault="00544AC9" w:rsidP="00E066A1">
      <w:pPr>
        <w:pStyle w:val="Teksttreci20"/>
        <w:shd w:val="clear" w:color="auto" w:fill="auto"/>
        <w:tabs>
          <w:tab w:val="left" w:pos="948"/>
        </w:tabs>
        <w:spacing w:line="276" w:lineRule="auto"/>
        <w:ind w:firstLine="0"/>
        <w:rPr>
          <w:sz w:val="24"/>
          <w:szCs w:val="24"/>
        </w:rPr>
      </w:pPr>
    </w:p>
    <w:p w14:paraId="385E4CD4" w14:textId="14B6426D" w:rsidR="00BF0405" w:rsidRDefault="00BF0405" w:rsidP="00E066A1">
      <w:pPr>
        <w:pStyle w:val="Teksttreci20"/>
        <w:shd w:val="clear" w:color="auto" w:fill="auto"/>
        <w:tabs>
          <w:tab w:val="left" w:pos="948"/>
        </w:tabs>
        <w:spacing w:line="276" w:lineRule="auto"/>
        <w:ind w:firstLine="0"/>
        <w:rPr>
          <w:sz w:val="24"/>
          <w:szCs w:val="24"/>
        </w:rPr>
      </w:pPr>
    </w:p>
    <w:p w14:paraId="2F1F082B" w14:textId="548938C7" w:rsidR="00BF0405" w:rsidRDefault="00BF0405" w:rsidP="00E066A1">
      <w:pPr>
        <w:pStyle w:val="Teksttreci20"/>
        <w:shd w:val="clear" w:color="auto" w:fill="auto"/>
        <w:tabs>
          <w:tab w:val="left" w:pos="948"/>
        </w:tabs>
        <w:spacing w:line="276" w:lineRule="auto"/>
        <w:ind w:firstLine="0"/>
        <w:rPr>
          <w:sz w:val="24"/>
          <w:szCs w:val="24"/>
        </w:rPr>
      </w:pPr>
    </w:p>
    <w:p w14:paraId="097BAB4E" w14:textId="77777777" w:rsidR="00BF0405" w:rsidRPr="00E066A1" w:rsidRDefault="00BF0405" w:rsidP="00E066A1">
      <w:pPr>
        <w:pStyle w:val="Teksttreci20"/>
        <w:shd w:val="clear" w:color="auto" w:fill="auto"/>
        <w:tabs>
          <w:tab w:val="left" w:pos="948"/>
        </w:tabs>
        <w:spacing w:line="276" w:lineRule="auto"/>
        <w:ind w:firstLine="0"/>
        <w:rPr>
          <w:sz w:val="24"/>
          <w:szCs w:val="24"/>
        </w:rPr>
      </w:pPr>
    </w:p>
    <w:p w14:paraId="33045169" w14:textId="59B2E278" w:rsidR="0059369A" w:rsidRPr="00E066A1" w:rsidRDefault="0059369A">
      <w:pPr>
        <w:pStyle w:val="Teksttreci20"/>
        <w:numPr>
          <w:ilvl w:val="0"/>
          <w:numId w:val="17"/>
        </w:numPr>
        <w:shd w:val="clear" w:color="auto" w:fill="auto"/>
        <w:tabs>
          <w:tab w:val="left" w:pos="948"/>
        </w:tabs>
        <w:spacing w:line="276" w:lineRule="auto"/>
        <w:rPr>
          <w:b/>
          <w:bCs/>
          <w:sz w:val="24"/>
          <w:szCs w:val="24"/>
        </w:rPr>
      </w:pPr>
      <w:r w:rsidRPr="00E066A1">
        <w:rPr>
          <w:b/>
          <w:bCs/>
          <w:sz w:val="24"/>
          <w:szCs w:val="24"/>
        </w:rPr>
        <w:t xml:space="preserve">Planowane interwencje </w:t>
      </w:r>
    </w:p>
    <w:p w14:paraId="3EA6F3A1" w14:textId="77777777" w:rsidR="0059369A" w:rsidRPr="00E066A1" w:rsidRDefault="0059369A" w:rsidP="00E066A1">
      <w:pPr>
        <w:pStyle w:val="Teksttreci20"/>
        <w:shd w:val="clear" w:color="auto" w:fill="auto"/>
        <w:tabs>
          <w:tab w:val="left" w:pos="948"/>
        </w:tabs>
        <w:spacing w:line="276" w:lineRule="auto"/>
        <w:ind w:left="720" w:firstLine="0"/>
        <w:rPr>
          <w:b/>
          <w:bCs/>
          <w:sz w:val="24"/>
          <w:szCs w:val="24"/>
        </w:rPr>
      </w:pPr>
    </w:p>
    <w:p w14:paraId="33E3A7E8" w14:textId="230C0C3D" w:rsidR="0059369A" w:rsidRDefault="0059369A" w:rsidP="00E066A1">
      <w:pPr>
        <w:pStyle w:val="Teksttreci0"/>
        <w:spacing w:after="240" w:line="276" w:lineRule="auto"/>
        <w:ind w:firstLine="600"/>
        <w:jc w:val="both"/>
        <w:rPr>
          <w:rFonts w:ascii="Times New Roman" w:hAnsi="Times New Roman" w:cs="Times New Roman"/>
          <w:b/>
          <w:bCs/>
          <w:color w:val="000000"/>
          <w:sz w:val="24"/>
          <w:szCs w:val="24"/>
        </w:rPr>
      </w:pPr>
      <w:r w:rsidRPr="00E066A1">
        <w:rPr>
          <w:rFonts w:ascii="Times New Roman" w:hAnsi="Times New Roman" w:cs="Times New Roman"/>
          <w:b/>
          <w:bCs/>
          <w:color w:val="000000"/>
          <w:sz w:val="24"/>
          <w:szCs w:val="24"/>
        </w:rPr>
        <w:t>SZKOLENIA PERSONELU MEDYCZNEGO:</w:t>
      </w:r>
    </w:p>
    <w:p w14:paraId="1EED5F48" w14:textId="75C0AD7B" w:rsidR="0059369A" w:rsidRPr="00324577" w:rsidRDefault="0059369A">
      <w:pPr>
        <w:pStyle w:val="Teksttreci0"/>
        <w:numPr>
          <w:ilvl w:val="0"/>
          <w:numId w:val="24"/>
        </w:numPr>
        <w:spacing w:after="240" w:line="276" w:lineRule="auto"/>
        <w:jc w:val="both"/>
        <w:rPr>
          <w:rFonts w:ascii="Times New Roman" w:hAnsi="Times New Roman" w:cs="Times New Roman"/>
          <w:b/>
          <w:bCs/>
          <w:color w:val="000000"/>
          <w:sz w:val="24"/>
          <w:szCs w:val="24"/>
        </w:rPr>
      </w:pPr>
      <w:bookmarkStart w:id="43" w:name="bookmark175"/>
      <w:bookmarkEnd w:id="43"/>
      <w:r w:rsidRPr="00324577">
        <w:rPr>
          <w:rFonts w:ascii="Times New Roman" w:hAnsi="Times New Roman" w:cs="Times New Roman"/>
          <w:color w:val="000000"/>
          <w:sz w:val="24"/>
          <w:szCs w:val="24"/>
        </w:rPr>
        <w:t xml:space="preserve">W ramach PPZ realizowane </w:t>
      </w:r>
      <w:r w:rsidR="00BF0405">
        <w:rPr>
          <w:rFonts w:ascii="Times New Roman" w:hAnsi="Times New Roman" w:cs="Times New Roman"/>
          <w:color w:val="000000"/>
          <w:sz w:val="24"/>
          <w:szCs w:val="24"/>
        </w:rPr>
        <w:t>będą</w:t>
      </w:r>
      <w:r w:rsidRPr="00324577">
        <w:rPr>
          <w:rFonts w:ascii="Times New Roman" w:hAnsi="Times New Roman" w:cs="Times New Roman"/>
          <w:color w:val="000000"/>
          <w:sz w:val="24"/>
          <w:szCs w:val="24"/>
        </w:rPr>
        <w:t xml:space="preserve"> szkolenia w obszarach zgodnych ze zdiagnozowanymi potrzebami. Diagnozy potrzeb dokon</w:t>
      </w:r>
      <w:r w:rsidR="00BF0405">
        <w:rPr>
          <w:rFonts w:ascii="Times New Roman" w:hAnsi="Times New Roman" w:cs="Times New Roman"/>
          <w:color w:val="000000"/>
          <w:sz w:val="24"/>
          <w:szCs w:val="24"/>
        </w:rPr>
        <w:t xml:space="preserve">ywać będzie </w:t>
      </w:r>
      <w:r w:rsidRPr="00324577">
        <w:rPr>
          <w:rFonts w:ascii="Times New Roman" w:hAnsi="Times New Roman" w:cs="Times New Roman"/>
          <w:color w:val="000000"/>
          <w:sz w:val="24"/>
          <w:szCs w:val="24"/>
        </w:rPr>
        <w:t>Rada ds. Programu</w:t>
      </w:r>
      <w:r w:rsidR="00BF0405">
        <w:rPr>
          <w:rFonts w:ascii="Times New Roman" w:hAnsi="Times New Roman" w:cs="Times New Roman"/>
          <w:color w:val="000000"/>
          <w:sz w:val="24"/>
          <w:szCs w:val="24"/>
        </w:rPr>
        <w:t>.</w:t>
      </w:r>
      <w:r w:rsidRPr="00324577">
        <w:rPr>
          <w:rFonts w:ascii="Times New Roman" w:hAnsi="Times New Roman" w:cs="Times New Roman"/>
          <w:color w:val="000000"/>
          <w:sz w:val="24"/>
          <w:szCs w:val="24"/>
        </w:rPr>
        <w:t xml:space="preserve"> </w:t>
      </w:r>
    </w:p>
    <w:p w14:paraId="136D1743" w14:textId="3A691472" w:rsidR="0059369A" w:rsidRPr="00324577" w:rsidRDefault="0059369A">
      <w:pPr>
        <w:pStyle w:val="Teksttreci0"/>
        <w:numPr>
          <w:ilvl w:val="0"/>
          <w:numId w:val="24"/>
        </w:numPr>
        <w:spacing w:after="240" w:line="276" w:lineRule="auto"/>
        <w:jc w:val="both"/>
        <w:rPr>
          <w:rFonts w:ascii="Times New Roman" w:hAnsi="Times New Roman" w:cs="Times New Roman"/>
          <w:b/>
          <w:bCs/>
          <w:color w:val="000000"/>
          <w:sz w:val="24"/>
          <w:szCs w:val="24"/>
        </w:rPr>
      </w:pPr>
      <w:bookmarkStart w:id="44" w:name="bookmark176"/>
      <w:bookmarkEnd w:id="44"/>
      <w:r w:rsidRPr="00324577">
        <w:rPr>
          <w:rFonts w:ascii="Times New Roman" w:hAnsi="Times New Roman" w:cs="Times New Roman"/>
          <w:color w:val="000000"/>
          <w:sz w:val="24"/>
          <w:szCs w:val="24"/>
        </w:rPr>
        <w:t xml:space="preserve">Formy szkolenia </w:t>
      </w:r>
      <w:r w:rsidR="00BF0405">
        <w:rPr>
          <w:rFonts w:ascii="Times New Roman" w:hAnsi="Times New Roman" w:cs="Times New Roman"/>
          <w:color w:val="000000"/>
          <w:sz w:val="24"/>
          <w:szCs w:val="24"/>
        </w:rPr>
        <w:t>będą</w:t>
      </w:r>
      <w:r w:rsidRPr="00324577">
        <w:rPr>
          <w:rFonts w:ascii="Times New Roman" w:hAnsi="Times New Roman" w:cs="Times New Roman"/>
          <w:color w:val="000000"/>
          <w:sz w:val="24"/>
          <w:szCs w:val="24"/>
        </w:rPr>
        <w:t xml:space="preserve"> dostosowane do potrzeb personelu medycznego, np. szkolenia w formie e-learningu, wykłady, materiały audiowizualne, telekonferencje.</w:t>
      </w:r>
    </w:p>
    <w:p w14:paraId="5B223177" w14:textId="4EC9E5CC" w:rsidR="0059369A" w:rsidRPr="00324577" w:rsidRDefault="0059369A">
      <w:pPr>
        <w:pStyle w:val="Teksttreci0"/>
        <w:numPr>
          <w:ilvl w:val="0"/>
          <w:numId w:val="24"/>
        </w:numPr>
        <w:spacing w:after="240" w:line="276" w:lineRule="auto"/>
        <w:jc w:val="both"/>
        <w:rPr>
          <w:rFonts w:ascii="Times New Roman" w:hAnsi="Times New Roman" w:cs="Times New Roman"/>
          <w:b/>
          <w:bCs/>
          <w:color w:val="000000"/>
          <w:sz w:val="24"/>
          <w:szCs w:val="24"/>
        </w:rPr>
      </w:pPr>
      <w:bookmarkStart w:id="45" w:name="bookmark177"/>
      <w:bookmarkEnd w:id="45"/>
      <w:r w:rsidRPr="00324577">
        <w:rPr>
          <w:rFonts w:ascii="Times New Roman" w:hAnsi="Times New Roman" w:cs="Times New Roman"/>
          <w:color w:val="000000"/>
          <w:sz w:val="24"/>
          <w:szCs w:val="24"/>
        </w:rPr>
        <w:t>W ramach szkoleń personel medyczny</w:t>
      </w:r>
      <w:r w:rsidR="00BF0405">
        <w:rPr>
          <w:rFonts w:ascii="Times New Roman" w:hAnsi="Times New Roman" w:cs="Times New Roman"/>
          <w:color w:val="000000"/>
          <w:sz w:val="24"/>
          <w:szCs w:val="24"/>
        </w:rPr>
        <w:t xml:space="preserve"> zapoznany zostanie</w:t>
      </w:r>
      <w:r w:rsidRPr="00324577">
        <w:rPr>
          <w:rFonts w:ascii="Times New Roman" w:hAnsi="Times New Roman" w:cs="Times New Roman"/>
          <w:color w:val="000000"/>
          <w:sz w:val="24"/>
          <w:szCs w:val="24"/>
        </w:rPr>
        <w:t xml:space="preserve"> z zalecanymi przez rekomendacje metodami profilaktyki, diagnostyki oraz leczenia osteoporozy, a także zapobiegania złamaniom osteoporotycznym i upadkom.</w:t>
      </w:r>
    </w:p>
    <w:p w14:paraId="49D0910D" w14:textId="0445E5DC" w:rsidR="0059369A" w:rsidRPr="00324577" w:rsidRDefault="0059369A">
      <w:pPr>
        <w:pStyle w:val="Teksttreci0"/>
        <w:numPr>
          <w:ilvl w:val="0"/>
          <w:numId w:val="24"/>
        </w:numPr>
        <w:spacing w:after="240" w:line="276" w:lineRule="auto"/>
        <w:jc w:val="both"/>
        <w:rPr>
          <w:rFonts w:ascii="Times New Roman" w:hAnsi="Times New Roman" w:cs="Times New Roman"/>
          <w:b/>
          <w:bCs/>
          <w:color w:val="000000"/>
          <w:sz w:val="24"/>
          <w:szCs w:val="24"/>
        </w:rPr>
      </w:pPr>
      <w:bookmarkStart w:id="46" w:name="bookmark178"/>
      <w:bookmarkEnd w:id="46"/>
      <w:r w:rsidRPr="00324577">
        <w:rPr>
          <w:rFonts w:ascii="Times New Roman" w:hAnsi="Times New Roman" w:cs="Times New Roman"/>
          <w:color w:val="000000"/>
          <w:sz w:val="24"/>
          <w:szCs w:val="24"/>
        </w:rPr>
        <w:t xml:space="preserve">Warunkiem przystąpienia do uczestnictwa </w:t>
      </w:r>
      <w:r w:rsidR="00BF0405">
        <w:rPr>
          <w:rFonts w:ascii="Times New Roman" w:hAnsi="Times New Roman" w:cs="Times New Roman"/>
          <w:color w:val="000000"/>
          <w:sz w:val="24"/>
          <w:szCs w:val="24"/>
        </w:rPr>
        <w:t>będzie</w:t>
      </w:r>
      <w:r w:rsidRPr="00324577">
        <w:rPr>
          <w:rFonts w:ascii="Times New Roman" w:hAnsi="Times New Roman" w:cs="Times New Roman"/>
          <w:color w:val="000000"/>
          <w:sz w:val="24"/>
          <w:szCs w:val="24"/>
        </w:rPr>
        <w:t xml:space="preserve"> wypełnienie pre-testu. Każda osoba, która przystąpi do uczestnictwa w szkoleniu dla personelu medycznego, </w:t>
      </w:r>
      <w:r w:rsidR="00BF0405">
        <w:rPr>
          <w:rFonts w:ascii="Times New Roman" w:hAnsi="Times New Roman" w:cs="Times New Roman"/>
          <w:color w:val="000000"/>
          <w:sz w:val="24"/>
          <w:szCs w:val="24"/>
        </w:rPr>
        <w:t>będzie</w:t>
      </w:r>
      <w:r w:rsidRPr="00324577">
        <w:rPr>
          <w:rFonts w:ascii="Times New Roman" w:hAnsi="Times New Roman" w:cs="Times New Roman"/>
          <w:color w:val="000000"/>
          <w:sz w:val="24"/>
          <w:szCs w:val="24"/>
        </w:rPr>
        <w:t xml:space="preserve"> zobowiązana do wypełnienia post-testu.</w:t>
      </w:r>
    </w:p>
    <w:p w14:paraId="61596BFF" w14:textId="1AA12945" w:rsidR="0059369A" w:rsidRDefault="0059369A" w:rsidP="00E066A1">
      <w:pPr>
        <w:pStyle w:val="Teksttreci0"/>
        <w:spacing w:after="240" w:line="276" w:lineRule="auto"/>
        <w:ind w:firstLine="600"/>
        <w:jc w:val="both"/>
        <w:rPr>
          <w:rFonts w:ascii="Times New Roman" w:hAnsi="Times New Roman" w:cs="Times New Roman"/>
          <w:b/>
          <w:bCs/>
          <w:color w:val="000000"/>
          <w:sz w:val="24"/>
          <w:szCs w:val="24"/>
        </w:rPr>
      </w:pPr>
      <w:r w:rsidRPr="00E066A1">
        <w:rPr>
          <w:rFonts w:ascii="Times New Roman" w:hAnsi="Times New Roman" w:cs="Times New Roman"/>
          <w:b/>
          <w:bCs/>
          <w:color w:val="000000"/>
          <w:sz w:val="24"/>
          <w:szCs w:val="24"/>
        </w:rPr>
        <w:t>DZIAŁANIA INFORMACYJNO-EDUKACYJNE:</w:t>
      </w:r>
    </w:p>
    <w:p w14:paraId="3E911265" w14:textId="05FD2685" w:rsidR="0059369A" w:rsidRPr="00324577" w:rsidRDefault="0059369A">
      <w:pPr>
        <w:pStyle w:val="Teksttreci0"/>
        <w:numPr>
          <w:ilvl w:val="0"/>
          <w:numId w:val="25"/>
        </w:numPr>
        <w:spacing w:after="240" w:line="276" w:lineRule="auto"/>
        <w:jc w:val="both"/>
        <w:rPr>
          <w:rFonts w:ascii="Times New Roman" w:hAnsi="Times New Roman" w:cs="Times New Roman"/>
          <w:sz w:val="24"/>
          <w:szCs w:val="24"/>
        </w:rPr>
      </w:pPr>
      <w:bookmarkStart w:id="47" w:name="bookmark179"/>
      <w:bookmarkEnd w:id="47"/>
      <w:r w:rsidRPr="00324577">
        <w:rPr>
          <w:rFonts w:ascii="Times New Roman" w:hAnsi="Times New Roman" w:cs="Times New Roman"/>
          <w:color w:val="000000"/>
          <w:sz w:val="24"/>
          <w:szCs w:val="24"/>
        </w:rPr>
        <w:t>Przygotowa</w:t>
      </w:r>
      <w:r w:rsidR="00BF0405">
        <w:rPr>
          <w:rFonts w:ascii="Times New Roman" w:hAnsi="Times New Roman" w:cs="Times New Roman"/>
          <w:color w:val="000000"/>
          <w:sz w:val="24"/>
          <w:szCs w:val="24"/>
        </w:rPr>
        <w:t xml:space="preserve">ne zostaną broszury </w:t>
      </w:r>
      <w:r w:rsidRPr="00324577">
        <w:rPr>
          <w:rFonts w:ascii="Times New Roman" w:hAnsi="Times New Roman" w:cs="Times New Roman"/>
          <w:color w:val="000000"/>
          <w:sz w:val="24"/>
          <w:szCs w:val="24"/>
        </w:rPr>
        <w:t>z informacjami na temat profilaktyki osteoporozy, zapobieganiu złamaniom osteoporotycznym i zapobieganiu upadkom.</w:t>
      </w:r>
    </w:p>
    <w:p w14:paraId="5E7B70BA" w14:textId="71CB0994" w:rsidR="0059369A" w:rsidRPr="00324577" w:rsidRDefault="0059369A">
      <w:pPr>
        <w:pStyle w:val="Teksttreci0"/>
        <w:numPr>
          <w:ilvl w:val="0"/>
          <w:numId w:val="25"/>
        </w:numPr>
        <w:spacing w:after="240" w:line="276" w:lineRule="auto"/>
        <w:jc w:val="both"/>
        <w:rPr>
          <w:rFonts w:ascii="Times New Roman" w:hAnsi="Times New Roman" w:cs="Times New Roman"/>
          <w:sz w:val="24"/>
          <w:szCs w:val="24"/>
        </w:rPr>
      </w:pPr>
      <w:bookmarkStart w:id="48" w:name="bookmark180"/>
      <w:bookmarkEnd w:id="48"/>
      <w:r w:rsidRPr="00324577">
        <w:rPr>
          <w:rFonts w:ascii="Times New Roman" w:hAnsi="Times New Roman" w:cs="Times New Roman"/>
          <w:color w:val="000000"/>
          <w:sz w:val="24"/>
          <w:szCs w:val="24"/>
        </w:rPr>
        <w:t xml:space="preserve">Personel medyczny </w:t>
      </w:r>
      <w:r w:rsidR="00BF0405">
        <w:rPr>
          <w:rFonts w:ascii="Times New Roman" w:hAnsi="Times New Roman" w:cs="Times New Roman"/>
          <w:color w:val="000000"/>
          <w:sz w:val="24"/>
          <w:szCs w:val="24"/>
        </w:rPr>
        <w:t>będzie</w:t>
      </w:r>
      <w:r w:rsidRPr="00324577">
        <w:rPr>
          <w:rFonts w:ascii="Times New Roman" w:hAnsi="Times New Roman" w:cs="Times New Roman"/>
          <w:color w:val="000000"/>
          <w:sz w:val="24"/>
          <w:szCs w:val="24"/>
        </w:rPr>
        <w:t xml:space="preserve"> przekazywać pacjentowi informacje na temat programu oraz istoty działań profilaktyki pierwotnej.</w:t>
      </w:r>
    </w:p>
    <w:p w14:paraId="40A066B6" w14:textId="0F14E4CB" w:rsidR="0059369A" w:rsidRPr="00324577" w:rsidRDefault="0059369A">
      <w:pPr>
        <w:pStyle w:val="Teksttreci0"/>
        <w:numPr>
          <w:ilvl w:val="0"/>
          <w:numId w:val="25"/>
        </w:numPr>
        <w:spacing w:after="240" w:line="276" w:lineRule="auto"/>
        <w:jc w:val="both"/>
        <w:rPr>
          <w:rFonts w:ascii="Times New Roman" w:hAnsi="Times New Roman" w:cs="Times New Roman"/>
          <w:sz w:val="24"/>
          <w:szCs w:val="24"/>
        </w:rPr>
      </w:pPr>
      <w:bookmarkStart w:id="49" w:name="bookmark181"/>
      <w:bookmarkEnd w:id="49"/>
      <w:r w:rsidRPr="00324577">
        <w:rPr>
          <w:rFonts w:ascii="Times New Roman" w:hAnsi="Times New Roman" w:cs="Times New Roman"/>
          <w:color w:val="000000"/>
          <w:sz w:val="24"/>
          <w:szCs w:val="24"/>
        </w:rPr>
        <w:t xml:space="preserve">Działania edukacyjno-informacyjne nakierowane na podniesienie poziomu wiedzy teoretycznej </w:t>
      </w:r>
      <w:r w:rsidR="00BF0405">
        <w:rPr>
          <w:rFonts w:ascii="Times New Roman" w:hAnsi="Times New Roman" w:cs="Times New Roman"/>
          <w:color w:val="000000"/>
          <w:sz w:val="24"/>
          <w:szCs w:val="24"/>
        </w:rPr>
        <w:t>i</w:t>
      </w:r>
      <w:r w:rsidRPr="00324577">
        <w:rPr>
          <w:rFonts w:ascii="Times New Roman" w:hAnsi="Times New Roman" w:cs="Times New Roman"/>
          <w:color w:val="000000"/>
          <w:sz w:val="24"/>
          <w:szCs w:val="24"/>
        </w:rPr>
        <w:t xml:space="preserve"> praktycznej </w:t>
      </w:r>
      <w:r w:rsidR="00BF0405" w:rsidRPr="00324577">
        <w:rPr>
          <w:rFonts w:ascii="Times New Roman" w:hAnsi="Times New Roman" w:cs="Times New Roman"/>
          <w:color w:val="000000"/>
          <w:sz w:val="24"/>
          <w:szCs w:val="24"/>
        </w:rPr>
        <w:t>dotycz</w:t>
      </w:r>
      <w:r w:rsidR="00BF0405">
        <w:rPr>
          <w:rFonts w:ascii="Times New Roman" w:hAnsi="Times New Roman" w:cs="Times New Roman"/>
          <w:color w:val="000000"/>
          <w:sz w:val="24"/>
          <w:szCs w:val="24"/>
        </w:rPr>
        <w:t xml:space="preserve">yć będą </w:t>
      </w:r>
      <w:r w:rsidRPr="00324577">
        <w:rPr>
          <w:rFonts w:ascii="Times New Roman" w:hAnsi="Times New Roman" w:cs="Times New Roman"/>
          <w:color w:val="000000"/>
          <w:sz w:val="24"/>
          <w:szCs w:val="24"/>
        </w:rPr>
        <w:t>co najmniej:</w:t>
      </w:r>
    </w:p>
    <w:p w14:paraId="64913778" w14:textId="04461210" w:rsidR="0059369A" w:rsidRPr="00324577" w:rsidRDefault="0059369A">
      <w:pPr>
        <w:pStyle w:val="Teksttreci0"/>
        <w:numPr>
          <w:ilvl w:val="0"/>
          <w:numId w:val="26"/>
        </w:numPr>
        <w:spacing w:after="240" w:line="276" w:lineRule="auto"/>
        <w:jc w:val="both"/>
        <w:rPr>
          <w:rFonts w:ascii="Times New Roman" w:hAnsi="Times New Roman" w:cs="Times New Roman"/>
          <w:sz w:val="24"/>
          <w:szCs w:val="24"/>
        </w:rPr>
      </w:pPr>
      <w:r w:rsidRPr="00324577">
        <w:rPr>
          <w:rFonts w:ascii="Times New Roman" w:hAnsi="Times New Roman" w:cs="Times New Roman"/>
          <w:color w:val="000000"/>
          <w:sz w:val="24"/>
          <w:szCs w:val="24"/>
        </w:rPr>
        <w:t>promocji elementów składających się na zdrowy styl życia, ze szczególnym uwzględnieniem czynników mających wpływ na zdrowie kości;</w:t>
      </w:r>
    </w:p>
    <w:p w14:paraId="3209F141" w14:textId="4BB9A7F4" w:rsidR="0059369A" w:rsidRPr="00324577" w:rsidRDefault="0059369A">
      <w:pPr>
        <w:pStyle w:val="Teksttreci0"/>
        <w:numPr>
          <w:ilvl w:val="0"/>
          <w:numId w:val="26"/>
        </w:numPr>
        <w:spacing w:after="240" w:line="276" w:lineRule="auto"/>
        <w:jc w:val="both"/>
        <w:rPr>
          <w:rFonts w:ascii="Times New Roman" w:hAnsi="Times New Roman" w:cs="Times New Roman"/>
          <w:sz w:val="24"/>
          <w:szCs w:val="24"/>
        </w:rPr>
      </w:pPr>
      <w:r w:rsidRPr="00324577">
        <w:rPr>
          <w:rFonts w:ascii="Times New Roman" w:hAnsi="Times New Roman" w:cs="Times New Roman"/>
          <w:color w:val="000000"/>
          <w:sz w:val="24"/>
          <w:szCs w:val="24"/>
        </w:rPr>
        <w:t>zasadniczej roli aktywności fizycznej na poprawę BMD, ze szczegółowym omówieniem ćwiczeń obciążeniowych, oporowych, poprawiających równowagę, a także wzmacniających siłę mięśniową, dostosowanych do indywidulanych potrzeb i możliwości pacjenta (NOGG 2017, RACGP 2017, SMS 2013, AACE/ACE 2016, CTFPHC 2010, 2013);</w:t>
      </w:r>
    </w:p>
    <w:p w14:paraId="42790B5A" w14:textId="5398FAFA" w:rsidR="0059369A" w:rsidRPr="00324577" w:rsidRDefault="0059369A">
      <w:pPr>
        <w:pStyle w:val="Teksttreci0"/>
        <w:numPr>
          <w:ilvl w:val="0"/>
          <w:numId w:val="26"/>
        </w:numPr>
        <w:spacing w:after="240" w:line="276" w:lineRule="auto"/>
        <w:jc w:val="both"/>
        <w:rPr>
          <w:rFonts w:ascii="Times New Roman" w:hAnsi="Times New Roman" w:cs="Times New Roman"/>
          <w:sz w:val="24"/>
          <w:szCs w:val="24"/>
        </w:rPr>
      </w:pPr>
      <w:r w:rsidRPr="00324577">
        <w:rPr>
          <w:rFonts w:ascii="Times New Roman" w:hAnsi="Times New Roman" w:cs="Times New Roman"/>
          <w:color w:val="000000"/>
          <w:sz w:val="24"/>
          <w:szCs w:val="24"/>
        </w:rPr>
        <w:t>przyczyn upadków oraz ich negatywnych następstw;</w:t>
      </w:r>
    </w:p>
    <w:p w14:paraId="38B55323" w14:textId="5FF91CFD" w:rsidR="0059369A" w:rsidRPr="00324577" w:rsidRDefault="0059369A">
      <w:pPr>
        <w:pStyle w:val="Teksttreci0"/>
        <w:numPr>
          <w:ilvl w:val="0"/>
          <w:numId w:val="26"/>
        </w:numPr>
        <w:spacing w:after="240" w:line="276" w:lineRule="auto"/>
        <w:jc w:val="both"/>
        <w:rPr>
          <w:rFonts w:ascii="Times New Roman" w:hAnsi="Times New Roman" w:cs="Times New Roman"/>
          <w:sz w:val="24"/>
          <w:szCs w:val="24"/>
        </w:rPr>
      </w:pPr>
      <w:r w:rsidRPr="00324577">
        <w:rPr>
          <w:rFonts w:ascii="Times New Roman" w:hAnsi="Times New Roman" w:cs="Times New Roman"/>
          <w:color w:val="000000"/>
          <w:sz w:val="24"/>
          <w:szCs w:val="24"/>
        </w:rPr>
        <w:t>działań pomagających zapobiegać upadkom;</w:t>
      </w:r>
    </w:p>
    <w:p w14:paraId="1F433E95" w14:textId="32C42404" w:rsidR="0059369A" w:rsidRPr="00324577" w:rsidRDefault="0059369A">
      <w:pPr>
        <w:pStyle w:val="Teksttreci0"/>
        <w:numPr>
          <w:ilvl w:val="0"/>
          <w:numId w:val="26"/>
        </w:numPr>
        <w:spacing w:after="240" w:line="276" w:lineRule="auto"/>
        <w:jc w:val="both"/>
        <w:rPr>
          <w:rFonts w:ascii="Times New Roman" w:hAnsi="Times New Roman" w:cs="Times New Roman"/>
          <w:sz w:val="24"/>
          <w:szCs w:val="24"/>
        </w:rPr>
      </w:pPr>
      <w:r w:rsidRPr="00324577">
        <w:rPr>
          <w:rFonts w:ascii="Times New Roman" w:hAnsi="Times New Roman" w:cs="Times New Roman"/>
          <w:color w:val="000000"/>
          <w:sz w:val="24"/>
          <w:szCs w:val="24"/>
        </w:rPr>
        <w:t>identyfikacji i sposobów eliminacji czynników ryzyka zachorowania na osteoporozę;</w:t>
      </w:r>
    </w:p>
    <w:p w14:paraId="71C49DF0" w14:textId="361EEB27" w:rsidR="0059369A" w:rsidRPr="00324577" w:rsidRDefault="0059369A">
      <w:pPr>
        <w:pStyle w:val="Teksttreci0"/>
        <w:numPr>
          <w:ilvl w:val="0"/>
          <w:numId w:val="26"/>
        </w:numPr>
        <w:spacing w:after="240" w:line="276" w:lineRule="auto"/>
        <w:jc w:val="both"/>
        <w:rPr>
          <w:rFonts w:ascii="Times New Roman" w:hAnsi="Times New Roman" w:cs="Times New Roman"/>
          <w:sz w:val="24"/>
          <w:szCs w:val="24"/>
        </w:rPr>
      </w:pPr>
      <w:r w:rsidRPr="00324577">
        <w:rPr>
          <w:rFonts w:ascii="Times New Roman" w:hAnsi="Times New Roman" w:cs="Times New Roman"/>
          <w:color w:val="000000"/>
          <w:sz w:val="24"/>
          <w:szCs w:val="24"/>
        </w:rPr>
        <w:t xml:space="preserve">podkreślenia roli prawidłowej diety w profilaktyce osteoporozy, w tym dostarczania </w:t>
      </w:r>
      <w:r w:rsidRPr="00324577">
        <w:rPr>
          <w:rFonts w:ascii="Times New Roman" w:hAnsi="Times New Roman" w:cs="Times New Roman"/>
          <w:color w:val="000000"/>
          <w:sz w:val="24"/>
          <w:szCs w:val="24"/>
        </w:rPr>
        <w:lastRenderedPageBreak/>
        <w:t>optymalnych ilości wapnia oraz ograniczenia spożycia alkoholu (ICSI 2017, RACGP 2017, AACE/ACE 2016, EULAR/EFORT 2016, MCG 2016, SMS 2013, ESC 2012)</w:t>
      </w:r>
      <w:r w:rsidR="00324577">
        <w:rPr>
          <w:rFonts w:ascii="Times New Roman" w:hAnsi="Times New Roman" w:cs="Times New Roman"/>
          <w:color w:val="000000"/>
          <w:sz w:val="24"/>
          <w:szCs w:val="24"/>
        </w:rPr>
        <w:t>.</w:t>
      </w:r>
    </w:p>
    <w:p w14:paraId="1EEBE8CA" w14:textId="0963F5CF" w:rsidR="0059369A" w:rsidRPr="00324577" w:rsidRDefault="00BF0405">
      <w:pPr>
        <w:pStyle w:val="Teksttreci0"/>
        <w:numPr>
          <w:ilvl w:val="0"/>
          <w:numId w:val="31"/>
        </w:numPr>
        <w:spacing w:after="240" w:line="276" w:lineRule="auto"/>
        <w:jc w:val="both"/>
        <w:rPr>
          <w:rFonts w:ascii="Times New Roman" w:hAnsi="Times New Roman" w:cs="Times New Roman"/>
          <w:sz w:val="24"/>
          <w:szCs w:val="24"/>
        </w:rPr>
      </w:pPr>
      <w:bookmarkStart w:id="50" w:name="bookmark182"/>
      <w:bookmarkEnd w:id="50"/>
      <w:r>
        <w:rPr>
          <w:rFonts w:ascii="Times New Roman" w:hAnsi="Times New Roman" w:cs="Times New Roman"/>
          <w:color w:val="000000"/>
          <w:sz w:val="24"/>
          <w:szCs w:val="24"/>
        </w:rPr>
        <w:t>W</w:t>
      </w:r>
      <w:r w:rsidR="0059369A" w:rsidRPr="00324577">
        <w:rPr>
          <w:rFonts w:ascii="Times New Roman" w:hAnsi="Times New Roman" w:cs="Times New Roman"/>
          <w:color w:val="000000"/>
          <w:sz w:val="24"/>
          <w:szCs w:val="24"/>
        </w:rPr>
        <w:t xml:space="preserve"> celu ciągłego utrwalania wiedzy w populacji</w:t>
      </w:r>
      <w:r>
        <w:rPr>
          <w:rFonts w:ascii="Times New Roman" w:hAnsi="Times New Roman" w:cs="Times New Roman"/>
          <w:color w:val="000000"/>
          <w:sz w:val="24"/>
          <w:szCs w:val="24"/>
        </w:rPr>
        <w:t xml:space="preserve"> zastosowana zostanie </w:t>
      </w:r>
      <w:r w:rsidRPr="00324577">
        <w:rPr>
          <w:rFonts w:ascii="Times New Roman" w:hAnsi="Times New Roman" w:cs="Times New Roman"/>
          <w:color w:val="000000"/>
          <w:sz w:val="24"/>
          <w:szCs w:val="24"/>
        </w:rPr>
        <w:t xml:space="preserve">mnogość środków przekazu </w:t>
      </w:r>
      <w:r>
        <w:rPr>
          <w:rFonts w:ascii="Times New Roman" w:hAnsi="Times New Roman" w:cs="Times New Roman"/>
          <w:color w:val="000000"/>
          <w:sz w:val="24"/>
          <w:szCs w:val="24"/>
        </w:rPr>
        <w:t xml:space="preserve">Dodatkowymi </w:t>
      </w:r>
      <w:r w:rsidR="0059369A" w:rsidRPr="00324577">
        <w:rPr>
          <w:rFonts w:ascii="Times New Roman" w:hAnsi="Times New Roman" w:cs="Times New Roman"/>
          <w:color w:val="000000"/>
          <w:sz w:val="24"/>
          <w:szCs w:val="24"/>
        </w:rPr>
        <w:t xml:space="preserve">formami działań edukacyjnych </w:t>
      </w:r>
      <w:r>
        <w:rPr>
          <w:rFonts w:ascii="Times New Roman" w:hAnsi="Times New Roman" w:cs="Times New Roman"/>
          <w:color w:val="000000"/>
          <w:sz w:val="24"/>
          <w:szCs w:val="24"/>
        </w:rPr>
        <w:t xml:space="preserve">będą </w:t>
      </w:r>
      <w:r w:rsidR="0059369A" w:rsidRPr="00324577">
        <w:rPr>
          <w:rFonts w:ascii="Times New Roman" w:hAnsi="Times New Roman" w:cs="Times New Roman"/>
          <w:color w:val="000000"/>
          <w:sz w:val="24"/>
          <w:szCs w:val="24"/>
        </w:rPr>
        <w:t>wykład, szkolenie online, konferencja.</w:t>
      </w:r>
    </w:p>
    <w:p w14:paraId="5B4E56BC" w14:textId="1E873BB9" w:rsidR="0059369A" w:rsidRPr="00324577" w:rsidRDefault="0059369A">
      <w:pPr>
        <w:pStyle w:val="Teksttreci0"/>
        <w:numPr>
          <w:ilvl w:val="0"/>
          <w:numId w:val="31"/>
        </w:numPr>
        <w:spacing w:after="240" w:line="276" w:lineRule="auto"/>
        <w:jc w:val="both"/>
        <w:rPr>
          <w:rFonts w:ascii="Times New Roman" w:hAnsi="Times New Roman" w:cs="Times New Roman"/>
          <w:sz w:val="24"/>
          <w:szCs w:val="24"/>
        </w:rPr>
      </w:pPr>
      <w:bookmarkStart w:id="51" w:name="bookmark183"/>
      <w:bookmarkEnd w:id="51"/>
      <w:r w:rsidRPr="00324577">
        <w:rPr>
          <w:rFonts w:ascii="Times New Roman" w:hAnsi="Times New Roman" w:cs="Times New Roman"/>
          <w:color w:val="000000"/>
          <w:sz w:val="24"/>
          <w:szCs w:val="24"/>
        </w:rPr>
        <w:t>W przypadku osób, które kwalifikują się do oceny narzędziem FRAX w ramach programu, prowadz</w:t>
      </w:r>
      <w:r w:rsidR="00BF0405">
        <w:rPr>
          <w:rFonts w:ascii="Times New Roman" w:hAnsi="Times New Roman" w:cs="Times New Roman"/>
          <w:color w:val="000000"/>
          <w:sz w:val="24"/>
          <w:szCs w:val="24"/>
        </w:rPr>
        <w:t xml:space="preserve">ona będzie uzupełniająca edukacja </w:t>
      </w:r>
      <w:r w:rsidRPr="00324577">
        <w:rPr>
          <w:rFonts w:ascii="Times New Roman" w:hAnsi="Times New Roman" w:cs="Times New Roman"/>
          <w:color w:val="000000"/>
          <w:sz w:val="24"/>
          <w:szCs w:val="24"/>
        </w:rPr>
        <w:t>indywidualn</w:t>
      </w:r>
      <w:r w:rsidR="00BF0405">
        <w:rPr>
          <w:rFonts w:ascii="Times New Roman" w:hAnsi="Times New Roman" w:cs="Times New Roman"/>
          <w:color w:val="000000"/>
          <w:sz w:val="24"/>
          <w:szCs w:val="24"/>
        </w:rPr>
        <w:t>a</w:t>
      </w:r>
      <w:r w:rsidRPr="00324577">
        <w:rPr>
          <w:rFonts w:ascii="Times New Roman" w:hAnsi="Times New Roman" w:cs="Times New Roman"/>
          <w:color w:val="000000"/>
          <w:sz w:val="24"/>
          <w:szCs w:val="24"/>
        </w:rPr>
        <w:t>, np. podczas lekarskiej wizyty podsumowującej, w ramach której lekarz udziel</w:t>
      </w:r>
      <w:r w:rsidR="00BF0405">
        <w:rPr>
          <w:rFonts w:ascii="Times New Roman" w:hAnsi="Times New Roman" w:cs="Times New Roman"/>
          <w:color w:val="000000"/>
          <w:sz w:val="24"/>
          <w:szCs w:val="24"/>
        </w:rPr>
        <w:t>i</w:t>
      </w:r>
      <w:r w:rsidRPr="00324577">
        <w:rPr>
          <w:rFonts w:ascii="Times New Roman" w:hAnsi="Times New Roman" w:cs="Times New Roman"/>
          <w:color w:val="000000"/>
          <w:sz w:val="24"/>
          <w:szCs w:val="24"/>
        </w:rPr>
        <w:t xml:space="preserve"> wyczerpujących odpowiedzi na pytania świadczeniobiorcy, przez co wyjaśni i utrwal</w:t>
      </w:r>
      <w:r w:rsidR="00BF0405">
        <w:rPr>
          <w:rFonts w:ascii="Times New Roman" w:hAnsi="Times New Roman" w:cs="Times New Roman"/>
          <w:color w:val="000000"/>
          <w:sz w:val="24"/>
          <w:szCs w:val="24"/>
        </w:rPr>
        <w:t>i</w:t>
      </w:r>
      <w:r w:rsidRPr="00324577">
        <w:rPr>
          <w:rFonts w:ascii="Times New Roman" w:hAnsi="Times New Roman" w:cs="Times New Roman"/>
          <w:color w:val="000000"/>
          <w:sz w:val="24"/>
          <w:szCs w:val="24"/>
        </w:rPr>
        <w:t xml:space="preserve"> przekazane wcześniej informacje.</w:t>
      </w:r>
    </w:p>
    <w:p w14:paraId="676263D4" w14:textId="405D4382" w:rsidR="0059369A" w:rsidRPr="00324577" w:rsidRDefault="0059369A">
      <w:pPr>
        <w:pStyle w:val="Teksttreci0"/>
        <w:numPr>
          <w:ilvl w:val="0"/>
          <w:numId w:val="31"/>
        </w:numPr>
        <w:spacing w:after="240" w:line="276" w:lineRule="auto"/>
        <w:jc w:val="both"/>
        <w:rPr>
          <w:rFonts w:ascii="Times New Roman" w:hAnsi="Times New Roman" w:cs="Times New Roman"/>
          <w:sz w:val="24"/>
          <w:szCs w:val="24"/>
        </w:rPr>
      </w:pPr>
      <w:bookmarkStart w:id="52" w:name="bookmark184"/>
      <w:bookmarkEnd w:id="52"/>
      <w:r w:rsidRPr="00324577">
        <w:rPr>
          <w:rFonts w:ascii="Times New Roman" w:hAnsi="Times New Roman" w:cs="Times New Roman"/>
          <w:color w:val="000000"/>
          <w:sz w:val="24"/>
          <w:szCs w:val="24"/>
        </w:rPr>
        <w:t xml:space="preserve">Warunkiem przystąpienia do uczestnictwa </w:t>
      </w:r>
      <w:r w:rsidR="00BF0405">
        <w:rPr>
          <w:rFonts w:ascii="Times New Roman" w:hAnsi="Times New Roman" w:cs="Times New Roman"/>
          <w:color w:val="000000"/>
          <w:sz w:val="24"/>
          <w:szCs w:val="24"/>
        </w:rPr>
        <w:t>bedzie</w:t>
      </w:r>
      <w:r w:rsidRPr="00324577">
        <w:rPr>
          <w:rFonts w:ascii="Times New Roman" w:hAnsi="Times New Roman" w:cs="Times New Roman"/>
          <w:color w:val="000000"/>
          <w:sz w:val="24"/>
          <w:szCs w:val="24"/>
        </w:rPr>
        <w:t xml:space="preserve"> wypełnienie pre-testu. Każda osoba, która przystąpi do uczestnictwa w działaniach informacyjno-edukacyjnych, </w:t>
      </w:r>
      <w:r w:rsidR="00BF0405">
        <w:rPr>
          <w:rFonts w:ascii="Times New Roman" w:hAnsi="Times New Roman" w:cs="Times New Roman"/>
          <w:color w:val="000000"/>
          <w:sz w:val="24"/>
          <w:szCs w:val="24"/>
        </w:rPr>
        <w:t xml:space="preserve">będzie </w:t>
      </w:r>
      <w:r w:rsidRPr="00324577">
        <w:rPr>
          <w:rFonts w:ascii="Times New Roman" w:hAnsi="Times New Roman" w:cs="Times New Roman"/>
          <w:color w:val="000000"/>
          <w:sz w:val="24"/>
          <w:szCs w:val="24"/>
        </w:rPr>
        <w:t>zobowiązana do wypełnienia post-testu.</w:t>
      </w:r>
    </w:p>
    <w:p w14:paraId="449CADAF" w14:textId="36C40D07" w:rsidR="0059369A" w:rsidRPr="00324577" w:rsidRDefault="0059369A">
      <w:pPr>
        <w:pStyle w:val="Teksttreci0"/>
        <w:numPr>
          <w:ilvl w:val="0"/>
          <w:numId w:val="31"/>
        </w:numPr>
        <w:spacing w:after="240" w:line="276" w:lineRule="auto"/>
        <w:jc w:val="both"/>
        <w:rPr>
          <w:rFonts w:ascii="Times New Roman" w:hAnsi="Times New Roman" w:cs="Times New Roman"/>
          <w:sz w:val="24"/>
          <w:szCs w:val="24"/>
        </w:rPr>
      </w:pPr>
      <w:bookmarkStart w:id="53" w:name="bookmark185"/>
      <w:bookmarkEnd w:id="53"/>
      <w:r w:rsidRPr="00324577">
        <w:rPr>
          <w:rFonts w:ascii="Times New Roman" w:hAnsi="Times New Roman" w:cs="Times New Roman"/>
          <w:color w:val="000000"/>
          <w:sz w:val="24"/>
          <w:szCs w:val="24"/>
        </w:rPr>
        <w:t xml:space="preserve">W przypadku gdy dostępne </w:t>
      </w:r>
      <w:r w:rsidR="00BF0405">
        <w:rPr>
          <w:rFonts w:ascii="Times New Roman" w:hAnsi="Times New Roman" w:cs="Times New Roman"/>
          <w:color w:val="000000"/>
          <w:sz w:val="24"/>
          <w:szCs w:val="24"/>
        </w:rPr>
        <w:t>będą</w:t>
      </w:r>
      <w:r w:rsidRPr="00324577">
        <w:rPr>
          <w:rFonts w:ascii="Times New Roman" w:hAnsi="Times New Roman" w:cs="Times New Roman"/>
          <w:color w:val="000000"/>
          <w:sz w:val="24"/>
          <w:szCs w:val="24"/>
        </w:rPr>
        <w:t xml:space="preserve"> materiały edukacyjne przygotowane przez instytucje zajmujące się profilaktyką i promocją zdrowia, w pierwszej kolejności </w:t>
      </w:r>
      <w:r w:rsidR="00BF0405">
        <w:rPr>
          <w:rFonts w:ascii="Times New Roman" w:hAnsi="Times New Roman" w:cs="Times New Roman"/>
          <w:color w:val="000000"/>
          <w:sz w:val="24"/>
          <w:szCs w:val="24"/>
        </w:rPr>
        <w:t xml:space="preserve">nastąpi zapoznanie  </w:t>
      </w:r>
      <w:r w:rsidRPr="00324577">
        <w:rPr>
          <w:rFonts w:ascii="Times New Roman" w:hAnsi="Times New Roman" w:cs="Times New Roman"/>
          <w:color w:val="000000"/>
          <w:sz w:val="24"/>
          <w:szCs w:val="24"/>
        </w:rPr>
        <w:t xml:space="preserve">się z dostępnymi treściami oraz w miarę możliwości zaadaptować je do indywidualnych potrzeb projektu (przestrzegając przy tym przepisów dot. praw autorskich). Prezentowane treści </w:t>
      </w:r>
      <w:r w:rsidR="00BF0405">
        <w:rPr>
          <w:rFonts w:ascii="Times New Roman" w:hAnsi="Times New Roman" w:cs="Times New Roman"/>
          <w:color w:val="000000"/>
          <w:sz w:val="24"/>
          <w:szCs w:val="24"/>
        </w:rPr>
        <w:t>będą</w:t>
      </w:r>
      <w:r w:rsidRPr="00324577">
        <w:rPr>
          <w:rFonts w:ascii="Times New Roman" w:hAnsi="Times New Roman" w:cs="Times New Roman"/>
          <w:color w:val="000000"/>
          <w:sz w:val="24"/>
          <w:szCs w:val="24"/>
        </w:rPr>
        <w:t xml:space="preserve"> rzetelne oraz całkowicie oparte o bieżący stan wiedzy medycznej i epidemiologicznej, np.</w:t>
      </w:r>
    </w:p>
    <w:p w14:paraId="49BFDB1B" w14:textId="42812E99" w:rsidR="0059369A" w:rsidRPr="00324577" w:rsidRDefault="0059369A">
      <w:pPr>
        <w:pStyle w:val="Teksttreci0"/>
        <w:numPr>
          <w:ilvl w:val="0"/>
          <w:numId w:val="27"/>
        </w:numPr>
        <w:spacing w:after="240" w:line="276" w:lineRule="auto"/>
        <w:jc w:val="both"/>
        <w:rPr>
          <w:rFonts w:ascii="Times New Roman" w:hAnsi="Times New Roman" w:cs="Times New Roman"/>
          <w:sz w:val="24"/>
          <w:szCs w:val="24"/>
        </w:rPr>
      </w:pPr>
      <w:r w:rsidRPr="00324577">
        <w:rPr>
          <w:rFonts w:ascii="Times New Roman" w:hAnsi="Times New Roman" w:cs="Times New Roman"/>
          <w:color w:val="000000"/>
          <w:sz w:val="24"/>
          <w:szCs w:val="24"/>
        </w:rPr>
        <w:t>materiały edukacyjne sporządzone w ramach „Programu Profilaktyki Osteoporozy” (</w:t>
      </w:r>
      <w:hyperlink r:id="rId15" w:history="1">
        <w:r w:rsidRPr="00324577">
          <w:rPr>
            <w:rFonts w:ascii="Times New Roman" w:hAnsi="Times New Roman" w:cs="Times New Roman"/>
            <w:color w:val="000000"/>
            <w:sz w:val="24"/>
            <w:szCs w:val="24"/>
          </w:rPr>
          <w:t>https://pacjent.gov.pl/programy-profilaktyczne/profilaktyka-osteoporozy</w:t>
        </w:r>
      </w:hyperlink>
      <w:r w:rsidRPr="00324577">
        <w:rPr>
          <w:rFonts w:ascii="Times New Roman" w:hAnsi="Times New Roman" w:cs="Times New Roman"/>
          <w:color w:val="000000"/>
          <w:sz w:val="24"/>
          <w:szCs w:val="24"/>
        </w:rPr>
        <w:t>)</w:t>
      </w:r>
      <w:r w:rsidR="008456D4">
        <w:rPr>
          <w:rFonts w:ascii="Times New Roman" w:hAnsi="Times New Roman" w:cs="Times New Roman"/>
          <w:color w:val="000000"/>
          <w:sz w:val="24"/>
          <w:szCs w:val="24"/>
        </w:rPr>
        <w:t>.</w:t>
      </w:r>
    </w:p>
    <w:p w14:paraId="60456E0D" w14:textId="61D2391A" w:rsidR="0059369A" w:rsidRDefault="0059369A" w:rsidP="00324577">
      <w:pPr>
        <w:pStyle w:val="Teksttreci0"/>
        <w:spacing w:after="240" w:line="276" w:lineRule="auto"/>
        <w:jc w:val="both"/>
        <w:rPr>
          <w:rFonts w:ascii="Times New Roman" w:hAnsi="Times New Roman" w:cs="Times New Roman"/>
          <w:b/>
          <w:bCs/>
          <w:color w:val="000000"/>
          <w:sz w:val="24"/>
          <w:szCs w:val="24"/>
        </w:rPr>
      </w:pPr>
      <w:r w:rsidRPr="00E066A1">
        <w:rPr>
          <w:rFonts w:ascii="Times New Roman" w:hAnsi="Times New Roman" w:cs="Times New Roman"/>
          <w:b/>
          <w:bCs/>
          <w:color w:val="000000"/>
          <w:sz w:val="24"/>
          <w:szCs w:val="24"/>
        </w:rPr>
        <w:t>OCENA RYZYKA POWAŻNEGO ZŁAMANIA OSTEOPOROTYCZNEGO NARZĘDZIEM FRAX:</w:t>
      </w:r>
    </w:p>
    <w:p w14:paraId="4540A100" w14:textId="6DB60152" w:rsidR="0059369A" w:rsidRPr="00324577" w:rsidRDefault="0059369A">
      <w:pPr>
        <w:pStyle w:val="Teksttreci0"/>
        <w:numPr>
          <w:ilvl w:val="0"/>
          <w:numId w:val="28"/>
        </w:numPr>
        <w:spacing w:after="240" w:line="276" w:lineRule="auto"/>
        <w:jc w:val="both"/>
        <w:rPr>
          <w:rFonts w:ascii="Times New Roman" w:hAnsi="Times New Roman" w:cs="Times New Roman"/>
          <w:sz w:val="24"/>
          <w:szCs w:val="24"/>
        </w:rPr>
      </w:pPr>
      <w:bookmarkStart w:id="54" w:name="bookmark186"/>
      <w:bookmarkEnd w:id="54"/>
      <w:r w:rsidRPr="00324577">
        <w:rPr>
          <w:rFonts w:ascii="Times New Roman" w:hAnsi="Times New Roman" w:cs="Times New Roman"/>
          <w:color w:val="000000"/>
          <w:sz w:val="24"/>
          <w:szCs w:val="24"/>
        </w:rPr>
        <w:t>Każda osoba zgłaszająca się do programu wypełni</w:t>
      </w:r>
      <w:r w:rsidR="008456D4">
        <w:rPr>
          <w:rFonts w:ascii="Times New Roman" w:hAnsi="Times New Roman" w:cs="Times New Roman"/>
          <w:color w:val="000000"/>
          <w:sz w:val="24"/>
          <w:szCs w:val="24"/>
        </w:rPr>
        <w:t>ć będzie</w:t>
      </w:r>
      <w:r w:rsidRPr="00324577">
        <w:rPr>
          <w:rFonts w:ascii="Times New Roman" w:hAnsi="Times New Roman" w:cs="Times New Roman"/>
          <w:color w:val="000000"/>
          <w:sz w:val="24"/>
          <w:szCs w:val="24"/>
        </w:rPr>
        <w:t xml:space="preserve"> formularz zgłoszeniowy, który poza innymi</w:t>
      </w:r>
      <w:r w:rsidR="008456D4">
        <w:rPr>
          <w:rFonts w:ascii="Times New Roman" w:hAnsi="Times New Roman" w:cs="Times New Roman"/>
          <w:color w:val="000000"/>
          <w:sz w:val="24"/>
          <w:szCs w:val="24"/>
        </w:rPr>
        <w:t xml:space="preserve"> </w:t>
      </w:r>
      <w:r w:rsidRPr="00324577">
        <w:rPr>
          <w:rFonts w:ascii="Times New Roman" w:hAnsi="Times New Roman" w:cs="Times New Roman"/>
          <w:color w:val="000000"/>
          <w:sz w:val="24"/>
          <w:szCs w:val="24"/>
        </w:rPr>
        <w:t>informacjami uwzględnia</w:t>
      </w:r>
      <w:r w:rsidR="008456D4">
        <w:rPr>
          <w:rFonts w:ascii="Times New Roman" w:hAnsi="Times New Roman" w:cs="Times New Roman"/>
          <w:color w:val="000000"/>
          <w:sz w:val="24"/>
          <w:szCs w:val="24"/>
        </w:rPr>
        <w:t>ć będzie</w:t>
      </w:r>
      <w:r w:rsidRPr="00324577">
        <w:rPr>
          <w:rFonts w:ascii="Times New Roman" w:hAnsi="Times New Roman" w:cs="Times New Roman"/>
          <w:color w:val="000000"/>
          <w:sz w:val="24"/>
          <w:szCs w:val="24"/>
        </w:rPr>
        <w:t xml:space="preserve"> także wszystkie dane niezbędne dla narzędzia FRAX, tj.: wiek (w latach), płeć (kobieta lub mężczyzna), masę ciała (w kg), wzrost (w cm) oraz pytania „tak”/”nie” dotyczące wystąpienia dodatkowych czynników ryzyka złamania osteoporotycznego: przebyte złamania, złamania biodra u co najmniej jednego z rodziców, obecne palenie tytoniu, stosowanie glikokortykosteroidów, zdiagnozowane reumatoidalne zapalenie stawów, obecność schorzenia silnie związanego z osteoporozą, spożywanie 3 lub więcej jednostek alkoholu dziennie. Obok każdego z pytań o obecność dodatkowego czynnika ryzyka złamania osteoporotycznego </w:t>
      </w:r>
      <w:r w:rsidR="008456D4">
        <w:rPr>
          <w:rFonts w:ascii="Times New Roman" w:hAnsi="Times New Roman" w:cs="Times New Roman"/>
          <w:color w:val="000000"/>
          <w:sz w:val="24"/>
          <w:szCs w:val="24"/>
        </w:rPr>
        <w:t xml:space="preserve">zostanie zamieszczone </w:t>
      </w:r>
      <w:r w:rsidRPr="00324577">
        <w:rPr>
          <w:rFonts w:ascii="Times New Roman" w:hAnsi="Times New Roman" w:cs="Times New Roman"/>
          <w:color w:val="000000"/>
          <w:sz w:val="24"/>
          <w:szCs w:val="24"/>
        </w:rPr>
        <w:t>stosowne</w:t>
      </w:r>
      <w:r w:rsidRPr="00324577">
        <w:rPr>
          <w:rFonts w:ascii="Times New Roman" w:hAnsi="Times New Roman" w:cs="Times New Roman"/>
          <w:color w:val="000000"/>
          <w:sz w:val="24"/>
          <w:szCs w:val="24"/>
        </w:rPr>
        <w:tab/>
        <w:t>wyjaśnienie,</w:t>
      </w:r>
      <w:r w:rsidRPr="00324577">
        <w:rPr>
          <w:rFonts w:ascii="Times New Roman" w:hAnsi="Times New Roman" w:cs="Times New Roman"/>
          <w:color w:val="000000"/>
          <w:sz w:val="24"/>
          <w:szCs w:val="24"/>
        </w:rPr>
        <w:tab/>
        <w:t>np.</w:t>
      </w:r>
      <w:r w:rsidR="00324577">
        <w:rPr>
          <w:rFonts w:ascii="Times New Roman" w:hAnsi="Times New Roman" w:cs="Times New Roman"/>
          <w:color w:val="000000"/>
          <w:sz w:val="24"/>
          <w:szCs w:val="24"/>
        </w:rPr>
        <w:t xml:space="preserve"> </w:t>
      </w:r>
      <w:r w:rsidRPr="00324577">
        <w:rPr>
          <w:rFonts w:ascii="Times New Roman" w:hAnsi="Times New Roman" w:cs="Times New Roman"/>
          <w:color w:val="000000"/>
          <w:sz w:val="24"/>
          <w:szCs w:val="24"/>
        </w:rPr>
        <w:t>ze</w:t>
      </w:r>
      <w:r w:rsidR="00324577">
        <w:rPr>
          <w:rFonts w:ascii="Times New Roman" w:hAnsi="Times New Roman" w:cs="Times New Roman"/>
          <w:color w:val="000000"/>
          <w:sz w:val="24"/>
          <w:szCs w:val="24"/>
        </w:rPr>
        <w:t xml:space="preserve"> </w:t>
      </w:r>
      <w:r w:rsidRPr="00324577">
        <w:rPr>
          <w:rFonts w:ascii="Times New Roman" w:hAnsi="Times New Roman" w:cs="Times New Roman"/>
          <w:color w:val="000000"/>
          <w:sz w:val="24"/>
          <w:szCs w:val="24"/>
        </w:rPr>
        <w:t>strony</w:t>
      </w:r>
      <w:r w:rsidRPr="00324577">
        <w:rPr>
          <w:rFonts w:ascii="Times New Roman" w:hAnsi="Times New Roman" w:cs="Times New Roman"/>
          <w:color w:val="000000"/>
          <w:sz w:val="24"/>
          <w:szCs w:val="24"/>
        </w:rPr>
        <w:tab/>
        <w:t>internetowej:</w:t>
      </w:r>
      <w:r w:rsidR="00324577">
        <w:rPr>
          <w:rFonts w:ascii="Times New Roman" w:hAnsi="Times New Roman" w:cs="Times New Roman"/>
          <w:sz w:val="24"/>
          <w:szCs w:val="24"/>
        </w:rPr>
        <w:t xml:space="preserve"> </w:t>
      </w:r>
      <w:hyperlink r:id="rId16" w:history="1">
        <w:r w:rsidR="00324577" w:rsidRPr="00324577">
          <w:rPr>
            <w:rStyle w:val="Hipercze"/>
            <w:rFonts w:ascii="Times New Roman" w:hAnsi="Times New Roman" w:cs="Times New Roman"/>
            <w:sz w:val="24"/>
            <w:szCs w:val="24"/>
          </w:rPr>
          <w:t>https://www.sheffield.ac.uk/FRAX/tool.aspx?lang=po&amp;country=40</w:t>
        </w:r>
      </w:hyperlink>
    </w:p>
    <w:p w14:paraId="5B6D4BC0" w14:textId="532A4F3B" w:rsidR="0059369A" w:rsidRPr="00324577" w:rsidRDefault="0059369A">
      <w:pPr>
        <w:pStyle w:val="Teksttreci0"/>
        <w:numPr>
          <w:ilvl w:val="0"/>
          <w:numId w:val="28"/>
        </w:numPr>
        <w:spacing w:after="240" w:line="276" w:lineRule="auto"/>
        <w:jc w:val="both"/>
        <w:rPr>
          <w:rFonts w:ascii="Times New Roman" w:hAnsi="Times New Roman" w:cs="Times New Roman"/>
          <w:sz w:val="24"/>
          <w:szCs w:val="24"/>
        </w:rPr>
      </w:pPr>
      <w:bookmarkStart w:id="55" w:name="bookmark187"/>
      <w:bookmarkEnd w:id="55"/>
      <w:r w:rsidRPr="00324577">
        <w:rPr>
          <w:rFonts w:ascii="Times New Roman" w:hAnsi="Times New Roman" w:cs="Times New Roman"/>
          <w:color w:val="000000"/>
          <w:sz w:val="24"/>
          <w:szCs w:val="24"/>
        </w:rPr>
        <w:t>Osoba przyjmująca formularz weryfik</w:t>
      </w:r>
      <w:r w:rsidR="001D0496">
        <w:rPr>
          <w:rFonts w:ascii="Times New Roman" w:hAnsi="Times New Roman" w:cs="Times New Roman"/>
          <w:color w:val="000000"/>
          <w:sz w:val="24"/>
          <w:szCs w:val="24"/>
        </w:rPr>
        <w:t>ować będzie</w:t>
      </w:r>
      <w:r w:rsidRPr="00324577">
        <w:rPr>
          <w:rFonts w:ascii="Times New Roman" w:hAnsi="Times New Roman" w:cs="Times New Roman"/>
          <w:color w:val="000000"/>
          <w:sz w:val="24"/>
          <w:szCs w:val="24"/>
        </w:rPr>
        <w:t xml:space="preserve"> kompletność zamieszczonych w nim informacji, a następnie korzystając z FRAX dla populacji polskiej („FRAX PL”) wylicz</w:t>
      </w:r>
      <w:r w:rsidR="001D0496">
        <w:rPr>
          <w:rFonts w:ascii="Times New Roman" w:hAnsi="Times New Roman" w:cs="Times New Roman"/>
          <w:color w:val="000000"/>
          <w:sz w:val="24"/>
          <w:szCs w:val="24"/>
        </w:rPr>
        <w:t>y</w:t>
      </w:r>
      <w:r w:rsidRPr="00324577">
        <w:rPr>
          <w:rFonts w:ascii="Times New Roman" w:hAnsi="Times New Roman" w:cs="Times New Roman"/>
          <w:color w:val="000000"/>
          <w:sz w:val="24"/>
          <w:szCs w:val="24"/>
        </w:rPr>
        <w:t xml:space="preserve"> dziesięcioletnie prawdopodobieństwo poważnego złamania osteoporotycznego. Wynik wpisywany</w:t>
      </w:r>
      <w:r w:rsidR="001D0496">
        <w:rPr>
          <w:rFonts w:ascii="Times New Roman" w:hAnsi="Times New Roman" w:cs="Times New Roman"/>
          <w:color w:val="000000"/>
          <w:sz w:val="24"/>
          <w:szCs w:val="24"/>
        </w:rPr>
        <w:t xml:space="preserve"> zostanie </w:t>
      </w:r>
      <w:r w:rsidRPr="00324577">
        <w:rPr>
          <w:rFonts w:ascii="Times New Roman" w:hAnsi="Times New Roman" w:cs="Times New Roman"/>
          <w:color w:val="000000"/>
          <w:sz w:val="24"/>
          <w:szCs w:val="24"/>
        </w:rPr>
        <w:t>do formularza zgłoszeniowego. Wynik udostępniany</w:t>
      </w:r>
      <w:r w:rsidR="001D0496">
        <w:rPr>
          <w:rFonts w:ascii="Times New Roman" w:hAnsi="Times New Roman" w:cs="Times New Roman"/>
          <w:color w:val="000000"/>
          <w:sz w:val="24"/>
          <w:szCs w:val="24"/>
        </w:rPr>
        <w:t xml:space="preserve"> będzie </w:t>
      </w:r>
      <w:r w:rsidRPr="00324577">
        <w:rPr>
          <w:rFonts w:ascii="Times New Roman" w:hAnsi="Times New Roman" w:cs="Times New Roman"/>
          <w:color w:val="000000"/>
          <w:sz w:val="24"/>
          <w:szCs w:val="24"/>
        </w:rPr>
        <w:t>świadczeniobiorcy w formie wydruku lub dokumentu elektronicznego.</w:t>
      </w:r>
    </w:p>
    <w:p w14:paraId="0AFFDAEC" w14:textId="3C41DC66" w:rsidR="0059369A" w:rsidRPr="00324577" w:rsidRDefault="0059369A">
      <w:pPr>
        <w:pStyle w:val="Teksttreci0"/>
        <w:numPr>
          <w:ilvl w:val="0"/>
          <w:numId w:val="28"/>
        </w:numPr>
        <w:spacing w:after="240" w:line="276" w:lineRule="auto"/>
        <w:jc w:val="both"/>
        <w:rPr>
          <w:rFonts w:ascii="Times New Roman" w:hAnsi="Times New Roman" w:cs="Times New Roman"/>
          <w:sz w:val="24"/>
          <w:szCs w:val="24"/>
        </w:rPr>
      </w:pPr>
      <w:bookmarkStart w:id="56" w:name="bookmark188"/>
      <w:bookmarkEnd w:id="56"/>
      <w:r w:rsidRPr="00324577">
        <w:rPr>
          <w:rFonts w:ascii="Times New Roman" w:hAnsi="Times New Roman" w:cs="Times New Roman"/>
          <w:color w:val="000000"/>
          <w:sz w:val="24"/>
          <w:szCs w:val="24"/>
        </w:rPr>
        <w:t>Osoba przyjmująca formularz udziela</w:t>
      </w:r>
      <w:r w:rsidR="001D0496">
        <w:rPr>
          <w:rFonts w:ascii="Times New Roman" w:hAnsi="Times New Roman" w:cs="Times New Roman"/>
          <w:color w:val="000000"/>
          <w:sz w:val="24"/>
          <w:szCs w:val="24"/>
        </w:rPr>
        <w:t>ć będzie</w:t>
      </w:r>
      <w:r w:rsidRPr="00324577">
        <w:rPr>
          <w:rFonts w:ascii="Times New Roman" w:hAnsi="Times New Roman" w:cs="Times New Roman"/>
          <w:color w:val="000000"/>
          <w:sz w:val="24"/>
          <w:szCs w:val="24"/>
        </w:rPr>
        <w:t xml:space="preserve"> merytorycznych odpowiedzi na wszelkie </w:t>
      </w:r>
      <w:r w:rsidRPr="00324577">
        <w:rPr>
          <w:rFonts w:ascii="Times New Roman" w:hAnsi="Times New Roman" w:cs="Times New Roman"/>
          <w:color w:val="000000"/>
          <w:sz w:val="24"/>
          <w:szCs w:val="24"/>
        </w:rPr>
        <w:lastRenderedPageBreak/>
        <w:t>pytanie dotyczące osteoporozy i zapobieganiu upadkom oraz kier</w:t>
      </w:r>
      <w:r w:rsidR="001D0496">
        <w:rPr>
          <w:rFonts w:ascii="Times New Roman" w:hAnsi="Times New Roman" w:cs="Times New Roman"/>
          <w:color w:val="000000"/>
          <w:sz w:val="24"/>
          <w:szCs w:val="24"/>
        </w:rPr>
        <w:t>ować będzie</w:t>
      </w:r>
      <w:r w:rsidRPr="00324577">
        <w:rPr>
          <w:rFonts w:ascii="Times New Roman" w:hAnsi="Times New Roman" w:cs="Times New Roman"/>
          <w:color w:val="000000"/>
          <w:sz w:val="24"/>
          <w:szCs w:val="24"/>
        </w:rPr>
        <w:t xml:space="preserve"> świadczeniobiorców do rzetelnych źródeł wiedzy.</w:t>
      </w:r>
    </w:p>
    <w:p w14:paraId="147E3EDE" w14:textId="4D069284" w:rsidR="0059369A" w:rsidRPr="00324577" w:rsidRDefault="0059369A">
      <w:pPr>
        <w:pStyle w:val="Teksttreci0"/>
        <w:numPr>
          <w:ilvl w:val="0"/>
          <w:numId w:val="28"/>
        </w:numPr>
        <w:spacing w:after="240" w:line="276" w:lineRule="auto"/>
        <w:jc w:val="both"/>
        <w:rPr>
          <w:rFonts w:ascii="Times New Roman" w:hAnsi="Times New Roman" w:cs="Times New Roman"/>
          <w:sz w:val="24"/>
          <w:szCs w:val="24"/>
        </w:rPr>
      </w:pPr>
      <w:bookmarkStart w:id="57" w:name="bookmark189"/>
      <w:bookmarkEnd w:id="57"/>
      <w:r w:rsidRPr="00324577">
        <w:rPr>
          <w:rFonts w:ascii="Times New Roman" w:hAnsi="Times New Roman" w:cs="Times New Roman"/>
          <w:color w:val="000000"/>
          <w:sz w:val="24"/>
          <w:szCs w:val="24"/>
        </w:rPr>
        <w:t>W przypadku wyniku dziesięcioletniego ryzyka poważanego złamania osteoporotycznego uzyskanego w FRAX dla populacji polskiej niższego niż 5% uczestnik otrzym</w:t>
      </w:r>
      <w:r w:rsidR="001D0496">
        <w:rPr>
          <w:rFonts w:ascii="Times New Roman" w:hAnsi="Times New Roman" w:cs="Times New Roman"/>
          <w:color w:val="000000"/>
          <w:sz w:val="24"/>
          <w:szCs w:val="24"/>
        </w:rPr>
        <w:t>a</w:t>
      </w:r>
      <w:r w:rsidRPr="00324577">
        <w:rPr>
          <w:rFonts w:ascii="Times New Roman" w:hAnsi="Times New Roman" w:cs="Times New Roman"/>
          <w:color w:val="000000"/>
          <w:sz w:val="24"/>
          <w:szCs w:val="24"/>
        </w:rPr>
        <w:t xml:space="preserve"> informację zwrotną o niskim prawdopodobieństwie złamania osteoporotycznego i braku potrzeby wykonania pomiaru DXA.</w:t>
      </w:r>
    </w:p>
    <w:p w14:paraId="4A3E87CA" w14:textId="21401B34" w:rsidR="0059369A" w:rsidRPr="00324577" w:rsidRDefault="0059369A">
      <w:pPr>
        <w:pStyle w:val="Teksttreci0"/>
        <w:numPr>
          <w:ilvl w:val="0"/>
          <w:numId w:val="28"/>
        </w:numPr>
        <w:spacing w:after="240" w:line="276" w:lineRule="auto"/>
        <w:jc w:val="both"/>
        <w:rPr>
          <w:rFonts w:ascii="Times New Roman" w:hAnsi="Times New Roman" w:cs="Times New Roman"/>
          <w:sz w:val="24"/>
          <w:szCs w:val="24"/>
        </w:rPr>
      </w:pPr>
      <w:bookmarkStart w:id="58" w:name="bookmark190"/>
      <w:bookmarkEnd w:id="58"/>
      <w:r w:rsidRPr="00324577">
        <w:rPr>
          <w:rFonts w:ascii="Times New Roman" w:hAnsi="Times New Roman" w:cs="Times New Roman"/>
          <w:color w:val="000000"/>
          <w:sz w:val="24"/>
          <w:szCs w:val="24"/>
        </w:rPr>
        <w:t>W przypadku wyniku dziesięcioletniego ryzyka poważanego złamania osteoporotycznego uzyskanego w FRAX dla populacji polskiej równego lub wyższego niż 5% uczestnik otrzym</w:t>
      </w:r>
      <w:r w:rsidR="001D0496">
        <w:rPr>
          <w:rFonts w:ascii="Times New Roman" w:hAnsi="Times New Roman" w:cs="Times New Roman"/>
          <w:color w:val="000000"/>
          <w:sz w:val="24"/>
          <w:szCs w:val="24"/>
        </w:rPr>
        <w:t>a</w:t>
      </w:r>
      <w:r w:rsidRPr="00324577">
        <w:rPr>
          <w:rFonts w:ascii="Times New Roman" w:hAnsi="Times New Roman" w:cs="Times New Roman"/>
          <w:color w:val="000000"/>
          <w:sz w:val="24"/>
          <w:szCs w:val="24"/>
        </w:rPr>
        <w:t xml:space="preserve"> informację zwrotną o zakwalifikowaniu do pomiaru DXA, a także szczegóły dotyczące miejsca i czasu planowanego pomiaru DXA oraz sposobu przygotowania do badania. Świadczeniobiorca </w:t>
      </w:r>
      <w:r w:rsidR="001D0496">
        <w:rPr>
          <w:rFonts w:ascii="Times New Roman" w:hAnsi="Times New Roman" w:cs="Times New Roman"/>
          <w:color w:val="000000"/>
          <w:sz w:val="24"/>
          <w:szCs w:val="24"/>
        </w:rPr>
        <w:t>zostanie</w:t>
      </w:r>
      <w:r w:rsidRPr="00324577">
        <w:rPr>
          <w:rFonts w:ascii="Times New Roman" w:hAnsi="Times New Roman" w:cs="Times New Roman"/>
          <w:color w:val="000000"/>
          <w:sz w:val="24"/>
          <w:szCs w:val="24"/>
        </w:rPr>
        <w:t xml:space="preserve"> poinformowany o przeciwwskazaniach do wykonania pomiaru DXA. Świadczeniobiorca </w:t>
      </w:r>
      <w:r w:rsidR="001D0496">
        <w:rPr>
          <w:rFonts w:ascii="Times New Roman" w:hAnsi="Times New Roman" w:cs="Times New Roman"/>
          <w:color w:val="000000"/>
          <w:sz w:val="24"/>
          <w:szCs w:val="24"/>
        </w:rPr>
        <w:t xml:space="preserve">będzie </w:t>
      </w:r>
      <w:r w:rsidRPr="00324577">
        <w:rPr>
          <w:rFonts w:ascii="Times New Roman" w:hAnsi="Times New Roman" w:cs="Times New Roman"/>
          <w:color w:val="000000"/>
          <w:sz w:val="24"/>
          <w:szCs w:val="24"/>
        </w:rPr>
        <w:t>informowany, że uzyskany wynik FRAX nie jest tożsamy ze stwierdzeniem osteoporozy.</w:t>
      </w:r>
    </w:p>
    <w:p w14:paraId="5BEC329D" w14:textId="4E6CED18" w:rsidR="0059369A" w:rsidRDefault="0059369A" w:rsidP="00E066A1">
      <w:pPr>
        <w:pStyle w:val="Teksttreci0"/>
        <w:spacing w:line="276" w:lineRule="auto"/>
        <w:ind w:firstLine="600"/>
        <w:jc w:val="both"/>
        <w:rPr>
          <w:rFonts w:ascii="Times New Roman" w:hAnsi="Times New Roman" w:cs="Times New Roman"/>
          <w:b/>
          <w:bCs/>
          <w:color w:val="000000"/>
          <w:sz w:val="24"/>
          <w:szCs w:val="24"/>
        </w:rPr>
      </w:pPr>
      <w:r w:rsidRPr="00E066A1">
        <w:rPr>
          <w:rFonts w:ascii="Times New Roman" w:hAnsi="Times New Roman" w:cs="Times New Roman"/>
          <w:b/>
          <w:bCs/>
          <w:color w:val="000000"/>
          <w:sz w:val="24"/>
          <w:szCs w:val="24"/>
        </w:rPr>
        <w:t>POMIAR BMD ZA POMOCĄ DXA:</w:t>
      </w:r>
    </w:p>
    <w:p w14:paraId="0F5E8FE6" w14:textId="1EF8A87F" w:rsidR="0059369A" w:rsidRPr="00324577" w:rsidRDefault="0059369A">
      <w:pPr>
        <w:pStyle w:val="Teksttreci0"/>
        <w:numPr>
          <w:ilvl w:val="0"/>
          <w:numId w:val="29"/>
        </w:numPr>
        <w:spacing w:line="276" w:lineRule="auto"/>
        <w:jc w:val="both"/>
        <w:rPr>
          <w:rFonts w:ascii="Times New Roman" w:hAnsi="Times New Roman" w:cs="Times New Roman"/>
          <w:sz w:val="24"/>
          <w:szCs w:val="24"/>
        </w:rPr>
      </w:pPr>
      <w:bookmarkStart w:id="59" w:name="bookmark191"/>
      <w:bookmarkEnd w:id="59"/>
      <w:r w:rsidRPr="00324577">
        <w:rPr>
          <w:rFonts w:ascii="Times New Roman" w:hAnsi="Times New Roman" w:cs="Times New Roman"/>
          <w:color w:val="000000"/>
          <w:sz w:val="24"/>
          <w:szCs w:val="24"/>
        </w:rPr>
        <w:t xml:space="preserve">Działania </w:t>
      </w:r>
      <w:r w:rsidR="001D0496">
        <w:rPr>
          <w:rFonts w:ascii="Times New Roman" w:hAnsi="Times New Roman" w:cs="Times New Roman"/>
          <w:color w:val="000000"/>
          <w:sz w:val="24"/>
          <w:szCs w:val="24"/>
        </w:rPr>
        <w:t>będą</w:t>
      </w:r>
      <w:r w:rsidRPr="00324577">
        <w:rPr>
          <w:rFonts w:ascii="Times New Roman" w:hAnsi="Times New Roman" w:cs="Times New Roman"/>
          <w:color w:val="000000"/>
          <w:sz w:val="24"/>
          <w:szCs w:val="24"/>
        </w:rPr>
        <w:t xml:space="preserve"> skierowane do uczestników programu, którzy uzyskali wynik FRAX &gt;5% i zostali zakwalifikowani do programu.</w:t>
      </w:r>
    </w:p>
    <w:p w14:paraId="39C31C62" w14:textId="05C03663" w:rsidR="0059369A" w:rsidRPr="00324577" w:rsidRDefault="0059369A">
      <w:pPr>
        <w:pStyle w:val="Teksttreci0"/>
        <w:numPr>
          <w:ilvl w:val="0"/>
          <w:numId w:val="29"/>
        </w:numPr>
        <w:spacing w:line="276" w:lineRule="auto"/>
        <w:jc w:val="both"/>
        <w:rPr>
          <w:rFonts w:ascii="Times New Roman" w:hAnsi="Times New Roman" w:cs="Times New Roman"/>
          <w:sz w:val="24"/>
          <w:szCs w:val="24"/>
        </w:rPr>
      </w:pPr>
      <w:bookmarkStart w:id="60" w:name="bookmark192"/>
      <w:bookmarkEnd w:id="60"/>
      <w:r w:rsidRPr="00324577">
        <w:rPr>
          <w:rFonts w:ascii="Times New Roman" w:hAnsi="Times New Roman" w:cs="Times New Roman"/>
          <w:color w:val="000000"/>
          <w:sz w:val="24"/>
          <w:szCs w:val="24"/>
        </w:rPr>
        <w:t xml:space="preserve">Pomiar densytometrii DXA </w:t>
      </w:r>
      <w:r w:rsidR="001D0496">
        <w:rPr>
          <w:rFonts w:ascii="Times New Roman" w:hAnsi="Times New Roman" w:cs="Times New Roman"/>
          <w:color w:val="000000"/>
          <w:sz w:val="24"/>
          <w:szCs w:val="24"/>
        </w:rPr>
        <w:t>będzie</w:t>
      </w:r>
      <w:r w:rsidRPr="00324577">
        <w:rPr>
          <w:rFonts w:ascii="Times New Roman" w:hAnsi="Times New Roman" w:cs="Times New Roman"/>
          <w:color w:val="000000"/>
          <w:sz w:val="24"/>
          <w:szCs w:val="24"/>
        </w:rPr>
        <w:t xml:space="preserve"> dokonywany na szyjce kości udowej. Przy wyznaczaniu </w:t>
      </w:r>
      <w:r w:rsidRPr="00324577">
        <w:rPr>
          <w:rFonts w:ascii="Times New Roman" w:hAnsi="Times New Roman" w:cs="Times New Roman"/>
          <w:i/>
          <w:iCs/>
          <w:color w:val="000000"/>
          <w:sz w:val="24"/>
          <w:szCs w:val="24"/>
        </w:rPr>
        <w:t>T-score</w:t>
      </w:r>
      <w:r w:rsidRPr="00324577">
        <w:rPr>
          <w:rFonts w:ascii="Times New Roman" w:hAnsi="Times New Roman" w:cs="Times New Roman"/>
          <w:color w:val="000000"/>
          <w:sz w:val="24"/>
          <w:szCs w:val="24"/>
        </w:rPr>
        <w:t xml:space="preserve"> dla kobiet i mężczyzn norma referencyjna to NHANES III dla kobiety rasy białej pomiędzy 20-29 rokiem życia. Przestrzeganie powyższej specyfikacji wskazanej przez autorów narzędzia FRAX umożliwi zastosowanie wyniku pomiaru w narzędziu FRAX.</w:t>
      </w:r>
    </w:p>
    <w:p w14:paraId="0D24AD6D" w14:textId="25613402" w:rsidR="0059369A" w:rsidRDefault="0059369A" w:rsidP="00E066A1">
      <w:pPr>
        <w:pStyle w:val="Teksttreci0"/>
        <w:spacing w:after="240" w:line="276" w:lineRule="auto"/>
        <w:ind w:firstLine="600"/>
        <w:jc w:val="both"/>
        <w:rPr>
          <w:rFonts w:ascii="Times New Roman" w:hAnsi="Times New Roman" w:cs="Times New Roman"/>
          <w:b/>
          <w:bCs/>
          <w:color w:val="000000"/>
          <w:sz w:val="24"/>
          <w:szCs w:val="24"/>
        </w:rPr>
      </w:pPr>
      <w:r w:rsidRPr="00E066A1">
        <w:rPr>
          <w:rFonts w:ascii="Times New Roman" w:hAnsi="Times New Roman" w:cs="Times New Roman"/>
          <w:b/>
          <w:bCs/>
          <w:color w:val="000000"/>
          <w:sz w:val="24"/>
          <w:szCs w:val="24"/>
        </w:rPr>
        <w:t>LEKARSKA WIZYTA PODSUMOWUJĄCA:</w:t>
      </w:r>
    </w:p>
    <w:p w14:paraId="531DEF8F" w14:textId="7A3E21EE" w:rsidR="0059369A" w:rsidRPr="00324577" w:rsidRDefault="0059369A">
      <w:pPr>
        <w:pStyle w:val="Teksttreci0"/>
        <w:numPr>
          <w:ilvl w:val="0"/>
          <w:numId w:val="30"/>
        </w:numPr>
        <w:spacing w:after="240" w:line="276" w:lineRule="auto"/>
        <w:jc w:val="both"/>
        <w:rPr>
          <w:rFonts w:ascii="Times New Roman" w:hAnsi="Times New Roman" w:cs="Times New Roman"/>
          <w:sz w:val="24"/>
          <w:szCs w:val="24"/>
        </w:rPr>
      </w:pPr>
      <w:bookmarkStart w:id="61" w:name="bookmark193"/>
      <w:bookmarkEnd w:id="61"/>
      <w:r w:rsidRPr="00324577">
        <w:rPr>
          <w:rFonts w:ascii="Times New Roman" w:hAnsi="Times New Roman" w:cs="Times New Roman"/>
          <w:color w:val="000000"/>
          <w:sz w:val="24"/>
          <w:szCs w:val="24"/>
        </w:rPr>
        <w:t>W trakcie wizyty lekarz om</w:t>
      </w:r>
      <w:r w:rsidR="001D0496">
        <w:rPr>
          <w:rFonts w:ascii="Times New Roman" w:hAnsi="Times New Roman" w:cs="Times New Roman"/>
          <w:color w:val="000000"/>
          <w:sz w:val="24"/>
          <w:szCs w:val="24"/>
        </w:rPr>
        <w:t>ówi</w:t>
      </w:r>
      <w:r w:rsidRPr="00324577">
        <w:rPr>
          <w:rFonts w:ascii="Times New Roman" w:hAnsi="Times New Roman" w:cs="Times New Roman"/>
          <w:color w:val="000000"/>
          <w:sz w:val="24"/>
          <w:szCs w:val="24"/>
        </w:rPr>
        <w:t xml:space="preserve"> ze świadczeniobiorcą wynik badania DXA. Następnie wykon</w:t>
      </w:r>
      <w:r w:rsidR="001D0496">
        <w:rPr>
          <w:rFonts w:ascii="Times New Roman" w:hAnsi="Times New Roman" w:cs="Times New Roman"/>
          <w:color w:val="000000"/>
          <w:sz w:val="24"/>
          <w:szCs w:val="24"/>
        </w:rPr>
        <w:t>a</w:t>
      </w:r>
      <w:r w:rsidRPr="00324577">
        <w:rPr>
          <w:rFonts w:ascii="Times New Roman" w:hAnsi="Times New Roman" w:cs="Times New Roman"/>
          <w:color w:val="000000"/>
          <w:sz w:val="24"/>
          <w:szCs w:val="24"/>
        </w:rPr>
        <w:t xml:space="preserve"> ponowną ocenę ryzyka złamania z użyciem narzędzia FRAX PL - tym razem uwzględniając wynik uzyskany w DXA. Lekarz om</w:t>
      </w:r>
      <w:r w:rsidR="001D0496">
        <w:rPr>
          <w:rFonts w:ascii="Times New Roman" w:hAnsi="Times New Roman" w:cs="Times New Roman"/>
          <w:color w:val="000000"/>
          <w:sz w:val="24"/>
          <w:szCs w:val="24"/>
        </w:rPr>
        <w:t>ówi</w:t>
      </w:r>
      <w:r w:rsidRPr="00324577">
        <w:rPr>
          <w:rFonts w:ascii="Times New Roman" w:hAnsi="Times New Roman" w:cs="Times New Roman"/>
          <w:color w:val="000000"/>
          <w:sz w:val="24"/>
          <w:szCs w:val="24"/>
        </w:rPr>
        <w:t xml:space="preserve"> ze świadczeniobiorcą uzyskany wynik.</w:t>
      </w:r>
    </w:p>
    <w:p w14:paraId="3E7C2D4C" w14:textId="50EF60EC" w:rsidR="0059369A" w:rsidRPr="00324577" w:rsidRDefault="0059369A">
      <w:pPr>
        <w:pStyle w:val="Teksttreci0"/>
        <w:numPr>
          <w:ilvl w:val="0"/>
          <w:numId w:val="30"/>
        </w:numPr>
        <w:spacing w:after="240" w:line="276" w:lineRule="auto"/>
        <w:jc w:val="both"/>
        <w:rPr>
          <w:rFonts w:ascii="Times New Roman" w:hAnsi="Times New Roman" w:cs="Times New Roman"/>
          <w:sz w:val="24"/>
          <w:szCs w:val="24"/>
        </w:rPr>
      </w:pPr>
      <w:bookmarkStart w:id="62" w:name="bookmark194"/>
      <w:bookmarkEnd w:id="62"/>
      <w:r w:rsidRPr="00324577">
        <w:rPr>
          <w:rFonts w:ascii="Times New Roman" w:hAnsi="Times New Roman" w:cs="Times New Roman"/>
          <w:color w:val="000000"/>
          <w:sz w:val="24"/>
          <w:szCs w:val="24"/>
        </w:rPr>
        <w:t xml:space="preserve">W przypadku braku osteoporozy pacjent informowany </w:t>
      </w:r>
      <w:r w:rsidR="001D0496">
        <w:rPr>
          <w:rFonts w:ascii="Times New Roman" w:hAnsi="Times New Roman" w:cs="Times New Roman"/>
          <w:color w:val="000000"/>
          <w:sz w:val="24"/>
          <w:szCs w:val="24"/>
        </w:rPr>
        <w:t>będzie</w:t>
      </w:r>
      <w:r w:rsidRPr="00324577">
        <w:rPr>
          <w:rFonts w:ascii="Times New Roman" w:hAnsi="Times New Roman" w:cs="Times New Roman"/>
          <w:color w:val="000000"/>
          <w:sz w:val="24"/>
          <w:szCs w:val="24"/>
        </w:rPr>
        <w:t xml:space="preserve"> o wyniku ujemnym (tj. brak stwierdzonej osteoporozy). Przekazywane </w:t>
      </w:r>
      <w:r w:rsidR="001D0496">
        <w:rPr>
          <w:rFonts w:ascii="Times New Roman" w:hAnsi="Times New Roman" w:cs="Times New Roman"/>
          <w:color w:val="000000"/>
          <w:sz w:val="24"/>
          <w:szCs w:val="24"/>
        </w:rPr>
        <w:t>będą</w:t>
      </w:r>
      <w:r w:rsidRPr="00324577">
        <w:rPr>
          <w:rFonts w:ascii="Times New Roman" w:hAnsi="Times New Roman" w:cs="Times New Roman"/>
          <w:color w:val="000000"/>
          <w:sz w:val="24"/>
          <w:szCs w:val="24"/>
        </w:rPr>
        <w:t xml:space="preserve"> zalecenia odnośnie czynników ryzyka osteoporozy. Świadczeniobiorca </w:t>
      </w:r>
      <w:r w:rsidR="001D0496">
        <w:rPr>
          <w:rFonts w:ascii="Times New Roman" w:hAnsi="Times New Roman" w:cs="Times New Roman"/>
          <w:color w:val="000000"/>
          <w:sz w:val="24"/>
          <w:szCs w:val="24"/>
        </w:rPr>
        <w:t>bedzie</w:t>
      </w:r>
      <w:r w:rsidRPr="00324577">
        <w:rPr>
          <w:rFonts w:ascii="Times New Roman" w:hAnsi="Times New Roman" w:cs="Times New Roman"/>
          <w:color w:val="000000"/>
          <w:sz w:val="24"/>
          <w:szCs w:val="24"/>
        </w:rPr>
        <w:t xml:space="preserve"> informowany o tym, że jeśli nie pojawią się dodatkowe czynniki ryzyka, to kolejne badanie DXA powinno zostać przeprowadzone nie wcześniej niż za 2 lata. Świadczeniobiorca kończy swój udział w programie.</w:t>
      </w:r>
    </w:p>
    <w:p w14:paraId="3CE2891D" w14:textId="11434CD5" w:rsidR="0059369A" w:rsidRPr="00324577" w:rsidRDefault="0059369A">
      <w:pPr>
        <w:pStyle w:val="Teksttreci0"/>
        <w:numPr>
          <w:ilvl w:val="0"/>
          <w:numId w:val="30"/>
        </w:numPr>
        <w:spacing w:after="240" w:line="276" w:lineRule="auto"/>
        <w:jc w:val="both"/>
        <w:rPr>
          <w:rFonts w:ascii="Times New Roman" w:hAnsi="Times New Roman" w:cs="Times New Roman"/>
          <w:sz w:val="24"/>
          <w:szCs w:val="24"/>
        </w:rPr>
      </w:pPr>
      <w:bookmarkStart w:id="63" w:name="bookmark195"/>
      <w:bookmarkEnd w:id="63"/>
      <w:r w:rsidRPr="00324577">
        <w:rPr>
          <w:rFonts w:ascii="Times New Roman" w:hAnsi="Times New Roman" w:cs="Times New Roman"/>
          <w:color w:val="000000"/>
          <w:sz w:val="24"/>
          <w:szCs w:val="24"/>
        </w:rPr>
        <w:t xml:space="preserve">W przypadku wykrycia osteoporozy pacjent kierowany </w:t>
      </w:r>
      <w:r w:rsidR="001D0496">
        <w:rPr>
          <w:rFonts w:ascii="Times New Roman" w:hAnsi="Times New Roman" w:cs="Times New Roman"/>
          <w:color w:val="000000"/>
          <w:sz w:val="24"/>
          <w:szCs w:val="24"/>
        </w:rPr>
        <w:t>będzie</w:t>
      </w:r>
      <w:r w:rsidRPr="00324577">
        <w:rPr>
          <w:rFonts w:ascii="Times New Roman" w:hAnsi="Times New Roman" w:cs="Times New Roman"/>
          <w:color w:val="000000"/>
          <w:sz w:val="24"/>
          <w:szCs w:val="24"/>
        </w:rPr>
        <w:t xml:space="preserve"> do leczenia w ramach świadczeń gwarantowanych. W czasie konsultacji lekarz przeka</w:t>
      </w:r>
      <w:r w:rsidR="001D0496">
        <w:rPr>
          <w:rFonts w:ascii="Times New Roman" w:hAnsi="Times New Roman" w:cs="Times New Roman"/>
          <w:color w:val="000000"/>
          <w:sz w:val="24"/>
          <w:szCs w:val="24"/>
        </w:rPr>
        <w:t>że</w:t>
      </w:r>
      <w:r w:rsidRPr="00324577">
        <w:rPr>
          <w:rFonts w:ascii="Times New Roman" w:hAnsi="Times New Roman" w:cs="Times New Roman"/>
          <w:color w:val="000000"/>
          <w:sz w:val="24"/>
          <w:szCs w:val="24"/>
        </w:rPr>
        <w:t xml:space="preserve"> pacjentowi informację na temat jego bieżącego stanu zdrowia, zalecenia odnośnie dalszego postępowania oraz wskazuje wszystkie dostępne ścieżki postępowania specjalistycznego w ramach systemu opieki zdrowotnej. Po otrzymaniu skierowania na leczenie osteoporozy pacjent kończy swój udział w programie.</w:t>
      </w:r>
    </w:p>
    <w:p w14:paraId="0E452FB5" w14:textId="260C24D1" w:rsidR="0059369A" w:rsidRPr="00E066A1" w:rsidRDefault="0059369A">
      <w:pPr>
        <w:pStyle w:val="Teksttreci20"/>
        <w:numPr>
          <w:ilvl w:val="0"/>
          <w:numId w:val="17"/>
        </w:numPr>
        <w:shd w:val="clear" w:color="auto" w:fill="auto"/>
        <w:tabs>
          <w:tab w:val="left" w:pos="948"/>
        </w:tabs>
        <w:spacing w:line="276" w:lineRule="auto"/>
        <w:ind w:left="284" w:hanging="284"/>
        <w:rPr>
          <w:b/>
          <w:bCs/>
          <w:sz w:val="24"/>
          <w:szCs w:val="24"/>
        </w:rPr>
      </w:pPr>
      <w:r w:rsidRPr="00E066A1">
        <w:rPr>
          <w:b/>
          <w:bCs/>
          <w:sz w:val="24"/>
          <w:szCs w:val="24"/>
        </w:rPr>
        <w:lastRenderedPageBreak/>
        <w:t xml:space="preserve">Sposób udzielania świadczeń zdrowotnych w ramach programu polityki zdrowotnej </w:t>
      </w:r>
    </w:p>
    <w:p w14:paraId="3811CE63" w14:textId="328BFAEF" w:rsidR="0059369A" w:rsidRPr="00E066A1" w:rsidRDefault="0059369A" w:rsidP="00E066A1">
      <w:pPr>
        <w:pStyle w:val="Teksttreci20"/>
        <w:shd w:val="clear" w:color="auto" w:fill="auto"/>
        <w:tabs>
          <w:tab w:val="left" w:pos="948"/>
        </w:tabs>
        <w:spacing w:line="276" w:lineRule="auto"/>
        <w:ind w:left="708" w:firstLine="0"/>
        <w:rPr>
          <w:sz w:val="24"/>
          <w:szCs w:val="24"/>
        </w:rPr>
      </w:pPr>
      <w:r w:rsidRPr="00E066A1">
        <w:rPr>
          <w:sz w:val="24"/>
          <w:szCs w:val="24"/>
        </w:rPr>
        <w:t xml:space="preserve">Świadczenia zdrowotne udzielane w ramach PPZ zostaną zrealizowane zgodnie z obowiązującymi przepisami prawa. Realizator programu wyłoniony zostanie w ramach ogłoszonego konkursu ofert. </w:t>
      </w:r>
    </w:p>
    <w:p w14:paraId="3F267C97" w14:textId="77777777" w:rsidR="0059369A" w:rsidRPr="00E066A1" w:rsidRDefault="0059369A" w:rsidP="00E066A1">
      <w:pPr>
        <w:pStyle w:val="Teksttreci20"/>
        <w:shd w:val="clear" w:color="auto" w:fill="auto"/>
        <w:tabs>
          <w:tab w:val="left" w:pos="948"/>
        </w:tabs>
        <w:spacing w:line="276" w:lineRule="auto"/>
        <w:ind w:left="708" w:firstLine="0"/>
        <w:rPr>
          <w:sz w:val="24"/>
          <w:szCs w:val="24"/>
        </w:rPr>
      </w:pPr>
    </w:p>
    <w:p w14:paraId="6773E667" w14:textId="679011D2" w:rsidR="0059369A" w:rsidRPr="00E066A1" w:rsidRDefault="0059369A">
      <w:pPr>
        <w:pStyle w:val="Teksttreci20"/>
        <w:numPr>
          <w:ilvl w:val="0"/>
          <w:numId w:val="17"/>
        </w:numPr>
        <w:shd w:val="clear" w:color="auto" w:fill="auto"/>
        <w:tabs>
          <w:tab w:val="left" w:pos="948"/>
        </w:tabs>
        <w:spacing w:line="276" w:lineRule="auto"/>
        <w:ind w:left="284" w:hanging="284"/>
        <w:rPr>
          <w:b/>
          <w:bCs/>
          <w:sz w:val="24"/>
          <w:szCs w:val="24"/>
        </w:rPr>
      </w:pPr>
      <w:r w:rsidRPr="00E066A1">
        <w:rPr>
          <w:b/>
          <w:bCs/>
          <w:sz w:val="24"/>
          <w:szCs w:val="24"/>
        </w:rPr>
        <w:t xml:space="preserve">Sposób zakończenia udziału w programie polityki zdrowotnej </w:t>
      </w:r>
    </w:p>
    <w:p w14:paraId="1D088653" w14:textId="77777777" w:rsidR="005E5842" w:rsidRPr="00E066A1" w:rsidRDefault="005E5842" w:rsidP="00E066A1">
      <w:pPr>
        <w:pStyle w:val="Teksttreci20"/>
        <w:shd w:val="clear" w:color="auto" w:fill="auto"/>
        <w:tabs>
          <w:tab w:val="left" w:pos="948"/>
        </w:tabs>
        <w:spacing w:line="276" w:lineRule="auto"/>
        <w:ind w:left="720" w:firstLine="0"/>
        <w:rPr>
          <w:b/>
          <w:bCs/>
          <w:sz w:val="24"/>
          <w:szCs w:val="24"/>
        </w:rPr>
      </w:pPr>
    </w:p>
    <w:p w14:paraId="1A2F61FF" w14:textId="6B15DA3E" w:rsidR="005E5842" w:rsidRPr="00E066A1" w:rsidRDefault="005E5842" w:rsidP="00E066A1">
      <w:pPr>
        <w:pStyle w:val="Teksttreci0"/>
        <w:spacing w:line="276" w:lineRule="auto"/>
        <w:ind w:firstLine="600"/>
        <w:jc w:val="both"/>
        <w:rPr>
          <w:rFonts w:ascii="Times New Roman" w:hAnsi="Times New Roman" w:cs="Times New Roman"/>
          <w:color w:val="000000"/>
          <w:sz w:val="24"/>
          <w:szCs w:val="24"/>
        </w:rPr>
      </w:pPr>
      <w:r w:rsidRPr="00E066A1">
        <w:rPr>
          <w:rFonts w:ascii="Times New Roman" w:hAnsi="Times New Roman" w:cs="Times New Roman"/>
          <w:color w:val="000000"/>
          <w:sz w:val="24"/>
          <w:szCs w:val="24"/>
        </w:rPr>
        <w:t>Sposoby zakończenia udziału w PPZ:</w:t>
      </w:r>
    </w:p>
    <w:p w14:paraId="26CF3F2B" w14:textId="59B318E0" w:rsidR="005E5842" w:rsidRPr="00E066A1" w:rsidRDefault="005E5842">
      <w:pPr>
        <w:pStyle w:val="Teksttreci0"/>
        <w:numPr>
          <w:ilvl w:val="0"/>
          <w:numId w:val="18"/>
        </w:numPr>
        <w:spacing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w przypadku osób, które nie kwalifikują się do oceny ryzyka poważnego złamania osteoporotycznego za pomocą narzędzia FRAX udział w programie kończy się wraz z zakończeniem udziału w działaniach informacyjno-edukacyjnych;</w:t>
      </w:r>
    </w:p>
    <w:p w14:paraId="77B70BB1" w14:textId="243E8949" w:rsidR="005E5842" w:rsidRPr="00E066A1" w:rsidRDefault="005E5842">
      <w:pPr>
        <w:pStyle w:val="Teksttreci0"/>
        <w:numPr>
          <w:ilvl w:val="0"/>
          <w:numId w:val="18"/>
        </w:numPr>
        <w:spacing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w przypadku osób, które kwalifikują się do oceny ryzyka poważnego złamania osteoporotycznego za pomocą narzędzia FRAX udział w programie kończy się</w:t>
      </w:r>
    </w:p>
    <w:p w14:paraId="4448728C" w14:textId="30601FEC" w:rsidR="005E5842" w:rsidRPr="00E066A1" w:rsidRDefault="005E5842">
      <w:pPr>
        <w:pStyle w:val="Teksttreci0"/>
        <w:numPr>
          <w:ilvl w:val="0"/>
          <w:numId w:val="19"/>
        </w:numPr>
        <w:spacing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wraz z uzyskaniem wyniku mniejszego niż 5%,</w:t>
      </w:r>
    </w:p>
    <w:p w14:paraId="2A5F3868" w14:textId="3DE6B3AF" w:rsidR="005E5842" w:rsidRPr="00E066A1" w:rsidRDefault="005E5842">
      <w:pPr>
        <w:pStyle w:val="Teksttreci0"/>
        <w:numPr>
          <w:ilvl w:val="0"/>
          <w:numId w:val="19"/>
        </w:numPr>
        <w:spacing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lub wraz ze zidentyfikowaniem przeciwwskazania do wykonania pomiaru DXA,</w:t>
      </w:r>
    </w:p>
    <w:p w14:paraId="2203B591" w14:textId="4389DBAA" w:rsidR="005E5842" w:rsidRPr="00E066A1" w:rsidRDefault="005E5842">
      <w:pPr>
        <w:pStyle w:val="Teksttreci0"/>
        <w:numPr>
          <w:ilvl w:val="0"/>
          <w:numId w:val="19"/>
        </w:numPr>
        <w:spacing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lub wraz z zakończeniem lekarskiej wizyty podsumowującej;</w:t>
      </w:r>
    </w:p>
    <w:p w14:paraId="03592F9B" w14:textId="767C1E25" w:rsidR="005E5842" w:rsidRPr="00E066A1" w:rsidRDefault="005E5842">
      <w:pPr>
        <w:pStyle w:val="Teksttreci0"/>
        <w:numPr>
          <w:ilvl w:val="0"/>
          <w:numId w:val="18"/>
        </w:numPr>
        <w:spacing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zgłoszenie przez uczestnika chęci zakończenia udziału w PPZ;</w:t>
      </w:r>
    </w:p>
    <w:p w14:paraId="0F83FC11" w14:textId="77777777" w:rsidR="005E5842" w:rsidRPr="00E066A1" w:rsidRDefault="005E5842">
      <w:pPr>
        <w:pStyle w:val="Teksttreci0"/>
        <w:numPr>
          <w:ilvl w:val="0"/>
          <w:numId w:val="18"/>
        </w:numPr>
        <w:spacing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zakończenie realizacji PPZ.</w:t>
      </w:r>
    </w:p>
    <w:p w14:paraId="5569D8D7" w14:textId="4A3BC085" w:rsidR="005E5842" w:rsidRPr="00E066A1" w:rsidRDefault="005E5842" w:rsidP="007621B0">
      <w:pPr>
        <w:pStyle w:val="Teksttreci0"/>
        <w:spacing w:after="240" w:line="276" w:lineRule="auto"/>
        <w:ind w:left="360"/>
        <w:jc w:val="both"/>
        <w:rPr>
          <w:rFonts w:ascii="Times New Roman" w:hAnsi="Times New Roman" w:cs="Times New Roman"/>
          <w:sz w:val="24"/>
          <w:szCs w:val="24"/>
        </w:rPr>
      </w:pPr>
      <w:r w:rsidRPr="00E066A1">
        <w:rPr>
          <w:rFonts w:ascii="Times New Roman" w:hAnsi="Times New Roman" w:cs="Times New Roman"/>
          <w:color w:val="000000"/>
          <w:sz w:val="24"/>
          <w:szCs w:val="24"/>
        </w:rPr>
        <w:t xml:space="preserve">Wraz z zakończeniem udziału w programie polityki zdrowotnej każdemu z uczestników </w:t>
      </w:r>
      <w:r w:rsidR="001D0496">
        <w:rPr>
          <w:rFonts w:ascii="Times New Roman" w:hAnsi="Times New Roman" w:cs="Times New Roman"/>
          <w:color w:val="000000"/>
          <w:sz w:val="24"/>
          <w:szCs w:val="24"/>
        </w:rPr>
        <w:t xml:space="preserve">zostaną przekazane </w:t>
      </w:r>
      <w:r w:rsidRPr="00E066A1">
        <w:rPr>
          <w:rFonts w:ascii="Times New Roman" w:hAnsi="Times New Roman" w:cs="Times New Roman"/>
          <w:color w:val="000000"/>
          <w:sz w:val="24"/>
          <w:szCs w:val="24"/>
        </w:rPr>
        <w:t>zindywidualizowane zalecenia odnośnie dalszego postępowania.</w:t>
      </w:r>
    </w:p>
    <w:p w14:paraId="63459F04" w14:textId="77777777" w:rsidR="0059369A" w:rsidRPr="00E066A1" w:rsidRDefault="0059369A" w:rsidP="00E066A1">
      <w:pPr>
        <w:pStyle w:val="Teksttreci20"/>
        <w:shd w:val="clear" w:color="auto" w:fill="auto"/>
        <w:tabs>
          <w:tab w:val="left" w:pos="948"/>
        </w:tabs>
        <w:spacing w:line="276" w:lineRule="auto"/>
        <w:ind w:left="720" w:firstLine="0"/>
        <w:rPr>
          <w:b/>
          <w:bCs/>
          <w:sz w:val="24"/>
          <w:szCs w:val="24"/>
        </w:rPr>
      </w:pPr>
    </w:p>
    <w:p w14:paraId="14741F17" w14:textId="77777777" w:rsidR="00E61ADA" w:rsidRPr="00E066A1" w:rsidRDefault="00545639">
      <w:pPr>
        <w:pStyle w:val="Teksttreci20"/>
        <w:numPr>
          <w:ilvl w:val="0"/>
          <w:numId w:val="9"/>
        </w:numPr>
        <w:shd w:val="clear" w:color="auto" w:fill="auto"/>
        <w:tabs>
          <w:tab w:val="left" w:pos="948"/>
        </w:tabs>
        <w:spacing w:line="276" w:lineRule="auto"/>
        <w:ind w:left="284"/>
        <w:rPr>
          <w:b/>
          <w:sz w:val="24"/>
          <w:szCs w:val="24"/>
        </w:rPr>
      </w:pPr>
      <w:r w:rsidRPr="00E066A1">
        <w:rPr>
          <w:b/>
          <w:sz w:val="24"/>
          <w:szCs w:val="24"/>
        </w:rPr>
        <w:t>Organizacja programu polityki zdrowotnej</w:t>
      </w:r>
    </w:p>
    <w:p w14:paraId="04BF97DD" w14:textId="6380E1D8" w:rsidR="005E5842" w:rsidRPr="00E066A1" w:rsidRDefault="005E5842">
      <w:pPr>
        <w:pStyle w:val="Teksttreci20"/>
        <w:numPr>
          <w:ilvl w:val="0"/>
          <w:numId w:val="20"/>
        </w:numPr>
        <w:shd w:val="clear" w:color="auto" w:fill="auto"/>
        <w:tabs>
          <w:tab w:val="left" w:pos="948"/>
        </w:tabs>
        <w:spacing w:line="276" w:lineRule="auto"/>
        <w:rPr>
          <w:b/>
          <w:bCs/>
          <w:sz w:val="24"/>
          <w:szCs w:val="24"/>
        </w:rPr>
      </w:pPr>
      <w:r w:rsidRPr="00E066A1">
        <w:rPr>
          <w:b/>
          <w:bCs/>
          <w:sz w:val="24"/>
          <w:szCs w:val="24"/>
        </w:rPr>
        <w:t xml:space="preserve">Etapy programu polityki zdrowotnej i działania podejmowane w ramach etapów </w:t>
      </w:r>
    </w:p>
    <w:p w14:paraId="68A46E05" w14:textId="27C690D3" w:rsidR="005E5842" w:rsidRPr="00E066A1" w:rsidRDefault="005E5842">
      <w:pPr>
        <w:pStyle w:val="Teksttreci20"/>
        <w:numPr>
          <w:ilvl w:val="0"/>
          <w:numId w:val="21"/>
        </w:numPr>
        <w:shd w:val="clear" w:color="auto" w:fill="auto"/>
        <w:tabs>
          <w:tab w:val="left" w:pos="948"/>
        </w:tabs>
        <w:spacing w:line="276" w:lineRule="auto"/>
        <w:rPr>
          <w:b/>
          <w:bCs/>
          <w:sz w:val="24"/>
          <w:szCs w:val="24"/>
        </w:rPr>
      </w:pPr>
      <w:r w:rsidRPr="00E066A1">
        <w:rPr>
          <w:sz w:val="24"/>
          <w:szCs w:val="24"/>
        </w:rPr>
        <w:t xml:space="preserve">Stworzenie Rady ds. programu, w skład której wejdą interesariusze zaangażowani w powodzenie programu (m. in. przedstawiciele JST, przedstawiciele lokalnych ośrodków zdrowia, podmioty odpowiedzialne za prowadzenie kampanii informacyjnej, eksperci itp.). Rada ds. programu </w:t>
      </w:r>
      <w:r w:rsidR="001D0496">
        <w:rPr>
          <w:sz w:val="24"/>
          <w:szCs w:val="24"/>
        </w:rPr>
        <w:t>będzie</w:t>
      </w:r>
      <w:r w:rsidRPr="00E066A1">
        <w:rPr>
          <w:sz w:val="24"/>
          <w:szCs w:val="24"/>
        </w:rPr>
        <w:t xml:space="preserve"> pełnić rolę wspierającą program, m.in. w zakresie organizacji programu, opracowania treści edukacyjnych i kampanii informacyjnej. Rada ds. programu </w:t>
      </w:r>
      <w:r w:rsidR="001D0496">
        <w:rPr>
          <w:sz w:val="24"/>
          <w:szCs w:val="24"/>
        </w:rPr>
        <w:t>będzie</w:t>
      </w:r>
      <w:r w:rsidRPr="00E066A1">
        <w:rPr>
          <w:sz w:val="24"/>
          <w:szCs w:val="24"/>
        </w:rPr>
        <w:t xml:space="preserve"> odpowiedzialna za zaangażowanie środowisk medycznych, przedstawicieli odpowiednich instytucji (również niemedycznych istotnych z punktu widzenia realizacji programu), w celu stworzenia korzystnego otoczenia dla działań zawartych w programie. Koordynator PPZ, który merytorycznie odpowiadał będzie za praktyczną realizację programu we współpracy ze wszystkimi specjalistami zaangażowanymi w program, </w:t>
      </w:r>
      <w:r w:rsidR="001D0496">
        <w:rPr>
          <w:sz w:val="24"/>
          <w:szCs w:val="24"/>
        </w:rPr>
        <w:t>będzie</w:t>
      </w:r>
      <w:r w:rsidRPr="00E066A1">
        <w:rPr>
          <w:sz w:val="24"/>
          <w:szCs w:val="24"/>
        </w:rPr>
        <w:t xml:space="preserve"> przewodniczącym Rady ds. programu</w:t>
      </w:r>
      <w:r w:rsidR="001D0496">
        <w:rPr>
          <w:sz w:val="24"/>
          <w:szCs w:val="24"/>
        </w:rPr>
        <w:t xml:space="preserve">. </w:t>
      </w:r>
      <w:r w:rsidRPr="00E066A1">
        <w:rPr>
          <w:sz w:val="24"/>
          <w:szCs w:val="24"/>
        </w:rPr>
        <w:t xml:space="preserve">Środki finansowe związane z działalnością Rady ds. programu nie </w:t>
      </w:r>
      <w:r w:rsidR="001D0496">
        <w:rPr>
          <w:sz w:val="24"/>
          <w:szCs w:val="24"/>
        </w:rPr>
        <w:t xml:space="preserve">przekroczą </w:t>
      </w:r>
      <w:r w:rsidRPr="00E066A1">
        <w:rPr>
          <w:sz w:val="24"/>
          <w:szCs w:val="24"/>
        </w:rPr>
        <w:t>5% całego budżetu na realizację PPZ.</w:t>
      </w:r>
    </w:p>
    <w:p w14:paraId="14A40BA1" w14:textId="0342D564" w:rsidR="005E5842" w:rsidRPr="00E066A1" w:rsidRDefault="005E5842">
      <w:pPr>
        <w:pStyle w:val="Teksttreci20"/>
        <w:numPr>
          <w:ilvl w:val="0"/>
          <w:numId w:val="21"/>
        </w:numPr>
        <w:shd w:val="clear" w:color="auto" w:fill="auto"/>
        <w:tabs>
          <w:tab w:val="left" w:pos="948"/>
        </w:tabs>
        <w:spacing w:line="276" w:lineRule="auto"/>
        <w:rPr>
          <w:b/>
          <w:bCs/>
          <w:sz w:val="24"/>
          <w:szCs w:val="24"/>
        </w:rPr>
      </w:pPr>
      <w:r w:rsidRPr="00E066A1">
        <w:rPr>
          <w:sz w:val="24"/>
          <w:szCs w:val="24"/>
        </w:rPr>
        <w:t>Przeprowadzenie konkursu ofert w celu wyboru jego realizatorów (zgodnie z art. 48b ust. 1 ustawy o świadczeniach opieki zdrowotnej finansowanych ze środków publicznych).</w:t>
      </w:r>
    </w:p>
    <w:p w14:paraId="745ED0A3" w14:textId="530C421B" w:rsidR="005E5842" w:rsidRPr="00E066A1" w:rsidRDefault="005E5842">
      <w:pPr>
        <w:pStyle w:val="Teksttreci20"/>
        <w:numPr>
          <w:ilvl w:val="0"/>
          <w:numId w:val="21"/>
        </w:numPr>
        <w:shd w:val="clear" w:color="auto" w:fill="auto"/>
        <w:tabs>
          <w:tab w:val="left" w:pos="948"/>
        </w:tabs>
        <w:spacing w:line="276" w:lineRule="auto"/>
        <w:rPr>
          <w:b/>
          <w:bCs/>
          <w:sz w:val="24"/>
          <w:szCs w:val="24"/>
        </w:rPr>
      </w:pPr>
      <w:r w:rsidRPr="00E066A1">
        <w:rPr>
          <w:sz w:val="24"/>
          <w:szCs w:val="24"/>
        </w:rPr>
        <w:t xml:space="preserve">Wybór realizatorów </w:t>
      </w:r>
      <w:r w:rsidR="00C80D73">
        <w:rPr>
          <w:sz w:val="24"/>
          <w:szCs w:val="24"/>
        </w:rPr>
        <w:t xml:space="preserve">oraz przeprowadzenie szkolenia </w:t>
      </w:r>
      <w:r w:rsidRPr="00E066A1">
        <w:rPr>
          <w:sz w:val="24"/>
          <w:szCs w:val="24"/>
        </w:rPr>
        <w:t>w celu zapoznania realizatorów ze szczegółowymi zapisami związanymi z prowadzonym PPZ</w:t>
      </w:r>
      <w:r w:rsidR="00C80D73">
        <w:rPr>
          <w:sz w:val="24"/>
          <w:szCs w:val="24"/>
        </w:rPr>
        <w:t>.</w:t>
      </w:r>
    </w:p>
    <w:p w14:paraId="14CAB946" w14:textId="5932ED29" w:rsidR="005E5842" w:rsidRPr="00E066A1" w:rsidRDefault="005E5842">
      <w:pPr>
        <w:pStyle w:val="Teksttreci20"/>
        <w:numPr>
          <w:ilvl w:val="0"/>
          <w:numId w:val="21"/>
        </w:numPr>
        <w:shd w:val="clear" w:color="auto" w:fill="auto"/>
        <w:tabs>
          <w:tab w:val="left" w:pos="948"/>
        </w:tabs>
        <w:spacing w:line="276" w:lineRule="auto"/>
        <w:rPr>
          <w:b/>
          <w:bCs/>
          <w:sz w:val="24"/>
          <w:szCs w:val="24"/>
        </w:rPr>
      </w:pPr>
      <w:r w:rsidRPr="00E066A1">
        <w:rPr>
          <w:sz w:val="24"/>
          <w:szCs w:val="24"/>
        </w:rPr>
        <w:t>Przeprowadzenie interwencji</w:t>
      </w:r>
      <w:r w:rsidR="00D47A2D">
        <w:rPr>
          <w:sz w:val="24"/>
          <w:szCs w:val="24"/>
        </w:rPr>
        <w:t xml:space="preserve">: </w:t>
      </w:r>
      <w:r w:rsidRPr="00E066A1">
        <w:rPr>
          <w:sz w:val="24"/>
          <w:szCs w:val="24"/>
        </w:rPr>
        <w:t>szkoleń dla personelu medycznego, działań edukacyjno-</w:t>
      </w:r>
      <w:r w:rsidRPr="00E066A1">
        <w:rPr>
          <w:sz w:val="24"/>
          <w:szCs w:val="24"/>
        </w:rPr>
        <w:lastRenderedPageBreak/>
        <w:t>informacyjnych, oceny ryzyka poważnego złamania osteoporotycznego narzędziem FRAX, pomiarów BMD za pomocą DXA, lekarskie wizyty podsumowujące.</w:t>
      </w:r>
    </w:p>
    <w:p w14:paraId="40327C16" w14:textId="3355D4F7" w:rsidR="005E5842" w:rsidRPr="00E066A1" w:rsidRDefault="005E5842">
      <w:pPr>
        <w:pStyle w:val="Teksttreci20"/>
        <w:numPr>
          <w:ilvl w:val="0"/>
          <w:numId w:val="21"/>
        </w:numPr>
        <w:shd w:val="clear" w:color="auto" w:fill="auto"/>
        <w:tabs>
          <w:tab w:val="left" w:pos="948"/>
        </w:tabs>
        <w:spacing w:line="276" w:lineRule="auto"/>
        <w:rPr>
          <w:b/>
          <w:bCs/>
          <w:sz w:val="24"/>
          <w:szCs w:val="24"/>
        </w:rPr>
      </w:pPr>
      <w:r w:rsidRPr="00E066A1">
        <w:rPr>
          <w:sz w:val="24"/>
          <w:szCs w:val="24"/>
        </w:rPr>
        <w:t>Bieżące zbieranie danych dot. realizowanych działań, umożliwiających monitorowanie programu i jego późniejszą ewaluację. Przygotowanie raportu z realizacji działań w danym roku (raport okresowy).</w:t>
      </w:r>
    </w:p>
    <w:p w14:paraId="6BCF20AC" w14:textId="6F1E0BBC" w:rsidR="005E5842" w:rsidRPr="00E066A1" w:rsidRDefault="005E5842">
      <w:pPr>
        <w:pStyle w:val="Teksttreci20"/>
        <w:numPr>
          <w:ilvl w:val="0"/>
          <w:numId w:val="21"/>
        </w:numPr>
        <w:shd w:val="clear" w:color="auto" w:fill="auto"/>
        <w:tabs>
          <w:tab w:val="left" w:pos="948"/>
        </w:tabs>
        <w:spacing w:line="276" w:lineRule="auto"/>
        <w:rPr>
          <w:b/>
          <w:bCs/>
          <w:sz w:val="24"/>
          <w:szCs w:val="24"/>
        </w:rPr>
      </w:pPr>
      <w:r w:rsidRPr="00E066A1">
        <w:rPr>
          <w:sz w:val="24"/>
          <w:szCs w:val="24"/>
        </w:rPr>
        <w:t>Zakończenie realizacji PPZ.</w:t>
      </w:r>
    </w:p>
    <w:p w14:paraId="042547AC" w14:textId="15AE01A4" w:rsidR="005E5842" w:rsidRPr="00E066A1" w:rsidRDefault="005E5842">
      <w:pPr>
        <w:pStyle w:val="Teksttreci20"/>
        <w:numPr>
          <w:ilvl w:val="0"/>
          <w:numId w:val="21"/>
        </w:numPr>
        <w:shd w:val="clear" w:color="auto" w:fill="auto"/>
        <w:tabs>
          <w:tab w:val="left" w:pos="948"/>
        </w:tabs>
        <w:spacing w:line="276" w:lineRule="auto"/>
        <w:rPr>
          <w:b/>
          <w:bCs/>
          <w:sz w:val="24"/>
          <w:szCs w:val="24"/>
        </w:rPr>
      </w:pPr>
      <w:r w:rsidRPr="00E066A1">
        <w:rPr>
          <w:sz w:val="24"/>
          <w:szCs w:val="24"/>
        </w:rPr>
        <w:t>Rozliczenie finansowe PPZ.</w:t>
      </w:r>
    </w:p>
    <w:p w14:paraId="253B353A" w14:textId="2F9039E9" w:rsidR="005E5842" w:rsidRPr="007621B0" w:rsidRDefault="005E5842">
      <w:pPr>
        <w:pStyle w:val="Teksttreci20"/>
        <w:numPr>
          <w:ilvl w:val="0"/>
          <w:numId w:val="21"/>
        </w:numPr>
        <w:shd w:val="clear" w:color="auto" w:fill="auto"/>
        <w:tabs>
          <w:tab w:val="left" w:pos="948"/>
        </w:tabs>
        <w:spacing w:line="276" w:lineRule="auto"/>
        <w:rPr>
          <w:b/>
          <w:bCs/>
          <w:sz w:val="24"/>
          <w:szCs w:val="24"/>
        </w:rPr>
      </w:pPr>
      <w:r w:rsidRPr="00E066A1">
        <w:rPr>
          <w:sz w:val="24"/>
          <w:szCs w:val="24"/>
        </w:rPr>
        <w:t>Ewaluacja programu, opracowanie raportu końcowego z realizacji PPZ i przesłanie go do Agencji, wraz z załączonym pierwotnym projektem, który został wdrożony do realizacji.</w:t>
      </w:r>
    </w:p>
    <w:p w14:paraId="4B0A7E94" w14:textId="77777777" w:rsidR="007621B0" w:rsidRPr="00E066A1" w:rsidRDefault="007621B0" w:rsidP="007621B0">
      <w:pPr>
        <w:pStyle w:val="Teksttreci20"/>
        <w:shd w:val="clear" w:color="auto" w:fill="auto"/>
        <w:tabs>
          <w:tab w:val="left" w:pos="948"/>
        </w:tabs>
        <w:spacing w:line="276" w:lineRule="auto"/>
        <w:ind w:left="720" w:firstLine="0"/>
        <w:rPr>
          <w:b/>
          <w:bCs/>
          <w:sz w:val="24"/>
          <w:szCs w:val="24"/>
        </w:rPr>
      </w:pPr>
    </w:p>
    <w:p w14:paraId="20084236" w14:textId="7A71DB4D" w:rsidR="005E5842" w:rsidRPr="00C80D73" w:rsidRDefault="005E5842">
      <w:pPr>
        <w:pStyle w:val="Teksttreci20"/>
        <w:numPr>
          <w:ilvl w:val="0"/>
          <w:numId w:val="20"/>
        </w:numPr>
        <w:shd w:val="clear" w:color="auto" w:fill="auto"/>
        <w:tabs>
          <w:tab w:val="left" w:pos="948"/>
        </w:tabs>
        <w:spacing w:line="276" w:lineRule="auto"/>
        <w:rPr>
          <w:b/>
          <w:bCs/>
          <w:sz w:val="24"/>
          <w:szCs w:val="24"/>
        </w:rPr>
      </w:pPr>
      <w:r w:rsidRPr="00E066A1">
        <w:rPr>
          <w:b/>
          <w:bCs/>
          <w:sz w:val="24"/>
          <w:szCs w:val="24"/>
        </w:rPr>
        <w:t>Warunki realizacji programu polityki zdrowotnej dotyczące personelu, wyposażenia i warunków lokalowych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36"/>
        <w:gridCol w:w="4541"/>
      </w:tblGrid>
      <w:tr w:rsidR="005E5842" w:rsidRPr="00E066A1" w14:paraId="3C41EEA8" w14:textId="77777777" w:rsidTr="00066F6C">
        <w:trPr>
          <w:trHeight w:hRule="exact" w:val="403"/>
          <w:jc w:val="center"/>
        </w:trPr>
        <w:tc>
          <w:tcPr>
            <w:tcW w:w="4536" w:type="dxa"/>
            <w:tcBorders>
              <w:top w:val="single" w:sz="4" w:space="0" w:color="auto"/>
              <w:left w:val="single" w:sz="4" w:space="0" w:color="auto"/>
            </w:tcBorders>
            <w:shd w:val="clear" w:color="auto" w:fill="D9D9D9"/>
            <w:vAlign w:val="center"/>
          </w:tcPr>
          <w:p w14:paraId="77E0CD68" w14:textId="77777777" w:rsidR="005E5842" w:rsidRPr="00E066A1" w:rsidRDefault="005E5842"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b/>
                <w:bCs/>
                <w:color w:val="000000"/>
                <w:sz w:val="24"/>
                <w:szCs w:val="24"/>
              </w:rPr>
              <w:t>Interwencja</w:t>
            </w:r>
          </w:p>
        </w:tc>
        <w:tc>
          <w:tcPr>
            <w:tcW w:w="4541" w:type="dxa"/>
            <w:tcBorders>
              <w:top w:val="single" w:sz="4" w:space="0" w:color="auto"/>
              <w:left w:val="single" w:sz="4" w:space="0" w:color="auto"/>
              <w:right w:val="single" w:sz="4" w:space="0" w:color="auto"/>
            </w:tcBorders>
            <w:shd w:val="clear" w:color="auto" w:fill="D9D9D9"/>
            <w:vAlign w:val="center"/>
          </w:tcPr>
          <w:p w14:paraId="06350D0A" w14:textId="77777777" w:rsidR="005E5842" w:rsidRPr="00E066A1" w:rsidRDefault="005E5842"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b/>
                <w:bCs/>
                <w:color w:val="000000"/>
                <w:sz w:val="24"/>
                <w:szCs w:val="24"/>
              </w:rPr>
              <w:t>Wymagania dotyczące personelu</w:t>
            </w:r>
          </w:p>
        </w:tc>
      </w:tr>
      <w:tr w:rsidR="005E5842" w:rsidRPr="00E066A1" w14:paraId="71675C3B" w14:textId="77777777" w:rsidTr="00C80D73">
        <w:trPr>
          <w:trHeight w:hRule="exact" w:val="3044"/>
          <w:jc w:val="center"/>
        </w:trPr>
        <w:tc>
          <w:tcPr>
            <w:tcW w:w="4536" w:type="dxa"/>
            <w:tcBorders>
              <w:top w:val="single" w:sz="4" w:space="0" w:color="auto"/>
              <w:left w:val="single" w:sz="4" w:space="0" w:color="auto"/>
              <w:bottom w:val="single" w:sz="4" w:space="0" w:color="auto"/>
            </w:tcBorders>
            <w:shd w:val="clear" w:color="auto" w:fill="FFFFFF"/>
          </w:tcPr>
          <w:p w14:paraId="486D7B72" w14:textId="77777777" w:rsidR="005E5842" w:rsidRPr="00E066A1" w:rsidRDefault="005E5842"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Szkolenia personelu medycznego</w:t>
            </w:r>
          </w:p>
        </w:tc>
        <w:tc>
          <w:tcPr>
            <w:tcW w:w="4541" w:type="dxa"/>
            <w:tcBorders>
              <w:top w:val="single" w:sz="4" w:space="0" w:color="auto"/>
              <w:left w:val="single" w:sz="4" w:space="0" w:color="auto"/>
              <w:bottom w:val="single" w:sz="4" w:space="0" w:color="auto"/>
              <w:right w:val="single" w:sz="4" w:space="0" w:color="auto"/>
            </w:tcBorders>
            <w:shd w:val="clear" w:color="auto" w:fill="FFFFFF"/>
            <w:vAlign w:val="center"/>
          </w:tcPr>
          <w:p w14:paraId="4464FDBF" w14:textId="2D07204D" w:rsidR="005E5842" w:rsidRPr="00E066A1" w:rsidRDefault="005E5842" w:rsidP="00C80D73">
            <w:pPr>
              <w:pStyle w:val="Inne0"/>
              <w:tabs>
                <w:tab w:val="left" w:pos="1536"/>
                <w:tab w:val="left" w:pos="2971"/>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Lekarz (optymalnie ze specjalizacją w dziedzinie reumatologii)</w:t>
            </w:r>
            <w:r w:rsidRPr="00E066A1">
              <w:rPr>
                <w:rFonts w:ascii="Times New Roman" w:hAnsi="Times New Roman" w:cs="Times New Roman"/>
                <w:color w:val="000000"/>
                <w:sz w:val="24"/>
                <w:szCs w:val="24"/>
              </w:rPr>
              <w:tab/>
              <w:t>posiadający</w:t>
            </w:r>
            <w:r w:rsidR="00C80D73">
              <w:rPr>
                <w:rFonts w:ascii="Times New Roman" w:hAnsi="Times New Roman" w:cs="Times New Roman"/>
                <w:color w:val="000000"/>
                <w:sz w:val="24"/>
                <w:szCs w:val="24"/>
              </w:rPr>
              <w:t xml:space="preserve"> </w:t>
            </w:r>
            <w:r w:rsidRPr="00E066A1">
              <w:rPr>
                <w:rFonts w:ascii="Times New Roman" w:hAnsi="Times New Roman" w:cs="Times New Roman"/>
                <w:color w:val="000000"/>
                <w:sz w:val="24"/>
                <w:szCs w:val="24"/>
              </w:rPr>
              <w:t>doświadczenie</w:t>
            </w:r>
            <w:r w:rsidR="00C80D73">
              <w:rPr>
                <w:rFonts w:ascii="Times New Roman" w:hAnsi="Times New Roman" w:cs="Times New Roman"/>
                <w:sz w:val="24"/>
                <w:szCs w:val="24"/>
              </w:rPr>
              <w:t xml:space="preserve"> </w:t>
            </w:r>
            <w:r w:rsidRPr="00E066A1">
              <w:rPr>
                <w:rFonts w:ascii="Times New Roman" w:hAnsi="Times New Roman" w:cs="Times New Roman"/>
                <w:color w:val="000000"/>
                <w:sz w:val="24"/>
                <w:szCs w:val="24"/>
              </w:rPr>
              <w:t>w diagnostyce,</w:t>
            </w:r>
            <w:r w:rsidRPr="00E066A1">
              <w:rPr>
                <w:rFonts w:ascii="Times New Roman" w:hAnsi="Times New Roman" w:cs="Times New Roman"/>
                <w:color w:val="000000"/>
                <w:sz w:val="24"/>
                <w:szCs w:val="24"/>
              </w:rPr>
              <w:tab/>
              <w:t>leczeniu,</w:t>
            </w:r>
            <w:r w:rsidR="00C80D73">
              <w:rPr>
                <w:rFonts w:ascii="Times New Roman" w:hAnsi="Times New Roman" w:cs="Times New Roman"/>
                <w:color w:val="000000"/>
                <w:sz w:val="24"/>
                <w:szCs w:val="24"/>
              </w:rPr>
              <w:t xml:space="preserve"> </w:t>
            </w:r>
            <w:r w:rsidRPr="00E066A1">
              <w:rPr>
                <w:rFonts w:ascii="Times New Roman" w:hAnsi="Times New Roman" w:cs="Times New Roman"/>
                <w:color w:val="000000"/>
                <w:sz w:val="24"/>
                <w:szCs w:val="24"/>
              </w:rPr>
              <w:t>różnicowaniu</w:t>
            </w:r>
            <w:r w:rsidR="00C80D73">
              <w:rPr>
                <w:rFonts w:ascii="Times New Roman" w:hAnsi="Times New Roman" w:cs="Times New Roman"/>
                <w:sz w:val="24"/>
                <w:szCs w:val="24"/>
              </w:rPr>
              <w:t xml:space="preserve"> </w:t>
            </w:r>
            <w:r w:rsidRPr="00E066A1">
              <w:rPr>
                <w:rFonts w:ascii="Times New Roman" w:hAnsi="Times New Roman" w:cs="Times New Roman"/>
                <w:color w:val="000000"/>
                <w:sz w:val="24"/>
                <w:szCs w:val="24"/>
              </w:rPr>
              <w:t>i profilaktyce osteoporozy oraz zapobieganiu</w:t>
            </w:r>
            <w:r w:rsidR="00C80D73">
              <w:rPr>
                <w:rFonts w:ascii="Times New Roman" w:hAnsi="Times New Roman" w:cs="Times New Roman"/>
                <w:color w:val="000000"/>
                <w:sz w:val="24"/>
                <w:szCs w:val="24"/>
              </w:rPr>
              <w:t xml:space="preserve"> </w:t>
            </w:r>
            <w:r w:rsidRPr="00E066A1">
              <w:rPr>
                <w:rFonts w:ascii="Times New Roman" w:hAnsi="Times New Roman" w:cs="Times New Roman"/>
                <w:color w:val="000000"/>
                <w:sz w:val="24"/>
                <w:szCs w:val="24"/>
              </w:rPr>
              <w:t>złamaniom</w:t>
            </w:r>
            <w:r w:rsidR="00C80D73">
              <w:rPr>
                <w:rFonts w:ascii="Times New Roman" w:hAnsi="Times New Roman" w:cs="Times New Roman"/>
                <w:color w:val="000000"/>
                <w:sz w:val="24"/>
                <w:szCs w:val="24"/>
              </w:rPr>
              <w:t xml:space="preserve"> </w:t>
            </w:r>
            <w:r w:rsidRPr="00E066A1">
              <w:rPr>
                <w:rFonts w:ascii="Times New Roman" w:hAnsi="Times New Roman" w:cs="Times New Roman"/>
                <w:color w:val="000000"/>
                <w:sz w:val="24"/>
                <w:szCs w:val="24"/>
              </w:rPr>
              <w:t>osteoporotycznym</w:t>
            </w:r>
            <w:r w:rsidRPr="00E066A1">
              <w:rPr>
                <w:rFonts w:ascii="Times New Roman" w:hAnsi="Times New Roman" w:cs="Times New Roman"/>
                <w:color w:val="000000"/>
                <w:sz w:val="24"/>
                <w:szCs w:val="24"/>
              </w:rPr>
              <w:tab/>
              <w:t>i</w:t>
            </w:r>
            <w:r w:rsidR="00C80D73">
              <w:rPr>
                <w:rFonts w:ascii="Times New Roman" w:hAnsi="Times New Roman" w:cs="Times New Roman"/>
                <w:color w:val="000000"/>
                <w:sz w:val="24"/>
                <w:szCs w:val="24"/>
              </w:rPr>
              <w:t xml:space="preserve"> </w:t>
            </w:r>
            <w:r w:rsidRPr="00E066A1">
              <w:rPr>
                <w:rFonts w:ascii="Times New Roman" w:hAnsi="Times New Roman" w:cs="Times New Roman"/>
                <w:color w:val="000000"/>
                <w:sz w:val="24"/>
                <w:szCs w:val="24"/>
              </w:rPr>
              <w:t>upadkom</w:t>
            </w:r>
            <w:r w:rsidR="00C80D73">
              <w:rPr>
                <w:rFonts w:ascii="Times New Roman" w:hAnsi="Times New Roman" w:cs="Times New Roman"/>
                <w:sz w:val="24"/>
                <w:szCs w:val="24"/>
              </w:rPr>
              <w:t xml:space="preserve"> </w:t>
            </w:r>
            <w:r w:rsidRPr="00E066A1">
              <w:rPr>
                <w:rFonts w:ascii="Times New Roman" w:hAnsi="Times New Roman" w:cs="Times New Roman"/>
                <w:color w:val="000000"/>
                <w:sz w:val="24"/>
                <w:szCs w:val="24"/>
              </w:rPr>
              <w:t>(„ekspert”), który jest w stanie odpowiednio przeszkolić personel i w ten sposób zapewnić wysoką jakość interwencji w ramach programu.</w:t>
            </w:r>
          </w:p>
        </w:tc>
      </w:tr>
      <w:tr w:rsidR="005E5842" w:rsidRPr="00E066A1" w14:paraId="29465675" w14:textId="77777777" w:rsidTr="00C80D73">
        <w:trPr>
          <w:trHeight w:hRule="exact" w:val="3303"/>
          <w:jc w:val="center"/>
        </w:trPr>
        <w:tc>
          <w:tcPr>
            <w:tcW w:w="4536" w:type="dxa"/>
            <w:tcBorders>
              <w:top w:val="single" w:sz="4" w:space="0" w:color="auto"/>
              <w:left w:val="single" w:sz="4" w:space="0" w:color="auto"/>
            </w:tcBorders>
            <w:shd w:val="clear" w:color="auto" w:fill="FFFFFF"/>
          </w:tcPr>
          <w:p w14:paraId="254A2717" w14:textId="77777777" w:rsidR="005E5842" w:rsidRPr="00E066A1" w:rsidRDefault="005E5842"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Działania informacyjno-edukacyjne</w:t>
            </w:r>
          </w:p>
        </w:tc>
        <w:tc>
          <w:tcPr>
            <w:tcW w:w="4541" w:type="dxa"/>
            <w:tcBorders>
              <w:top w:val="single" w:sz="4" w:space="0" w:color="auto"/>
              <w:left w:val="single" w:sz="4" w:space="0" w:color="auto"/>
              <w:right w:val="single" w:sz="4" w:space="0" w:color="auto"/>
            </w:tcBorders>
            <w:shd w:val="clear" w:color="auto" w:fill="FFFFFF"/>
            <w:vAlign w:val="center"/>
          </w:tcPr>
          <w:p w14:paraId="28CA6750" w14:textId="77777777" w:rsidR="005E5842" w:rsidRPr="00E066A1" w:rsidRDefault="005E5842" w:rsidP="00E066A1">
            <w:pPr>
              <w:pStyle w:val="Inne0"/>
              <w:tabs>
                <w:tab w:val="left" w:pos="1205"/>
                <w:tab w:val="left" w:pos="2237"/>
                <w:tab w:val="left" w:pos="3418"/>
                <w:tab w:val="left" w:pos="3941"/>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Lekarz, fizjoterapeuta pielęgniarka, asystent medyczny,</w:t>
            </w:r>
            <w:r w:rsidRPr="00E066A1">
              <w:rPr>
                <w:rFonts w:ascii="Times New Roman" w:hAnsi="Times New Roman" w:cs="Times New Roman"/>
                <w:color w:val="000000"/>
                <w:sz w:val="24"/>
                <w:szCs w:val="24"/>
              </w:rPr>
              <w:tab/>
              <w:t>edukator</w:t>
            </w:r>
            <w:r w:rsidRPr="00E066A1">
              <w:rPr>
                <w:rFonts w:ascii="Times New Roman" w:hAnsi="Times New Roman" w:cs="Times New Roman"/>
                <w:color w:val="000000"/>
                <w:sz w:val="24"/>
                <w:szCs w:val="24"/>
              </w:rPr>
              <w:tab/>
              <w:t>zdrowotny</w:t>
            </w:r>
            <w:r w:rsidRPr="00E066A1">
              <w:rPr>
                <w:rFonts w:ascii="Times New Roman" w:hAnsi="Times New Roman" w:cs="Times New Roman"/>
                <w:color w:val="000000"/>
                <w:sz w:val="24"/>
                <w:szCs w:val="24"/>
              </w:rPr>
              <w:tab/>
              <w:t>lub</w:t>
            </w:r>
            <w:r w:rsidRPr="00E066A1">
              <w:rPr>
                <w:rFonts w:ascii="Times New Roman" w:hAnsi="Times New Roman" w:cs="Times New Roman"/>
                <w:color w:val="000000"/>
                <w:sz w:val="24"/>
                <w:szCs w:val="24"/>
              </w:rPr>
              <w:tab/>
              <w:t>inny</w:t>
            </w:r>
          </w:p>
          <w:p w14:paraId="77EA2640" w14:textId="77777777" w:rsidR="005E5842" w:rsidRPr="00E066A1" w:rsidRDefault="005E5842" w:rsidP="00E066A1">
            <w:pPr>
              <w:pStyle w:val="Inne0"/>
              <w:tabs>
                <w:tab w:val="left" w:pos="1493"/>
                <w:tab w:val="left" w:pos="2438"/>
                <w:tab w:val="left" w:pos="3874"/>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przedstawiciel</w:t>
            </w:r>
            <w:r w:rsidRPr="00E066A1">
              <w:rPr>
                <w:rFonts w:ascii="Times New Roman" w:hAnsi="Times New Roman" w:cs="Times New Roman"/>
                <w:color w:val="000000"/>
                <w:sz w:val="24"/>
                <w:szCs w:val="24"/>
              </w:rPr>
              <w:tab/>
              <w:t>zawodu</w:t>
            </w:r>
            <w:r w:rsidRPr="00E066A1">
              <w:rPr>
                <w:rFonts w:ascii="Times New Roman" w:hAnsi="Times New Roman" w:cs="Times New Roman"/>
                <w:color w:val="000000"/>
                <w:sz w:val="24"/>
                <w:szCs w:val="24"/>
              </w:rPr>
              <w:tab/>
              <w:t>medycznego,</w:t>
            </w:r>
            <w:r w:rsidRPr="00E066A1">
              <w:rPr>
                <w:rFonts w:ascii="Times New Roman" w:hAnsi="Times New Roman" w:cs="Times New Roman"/>
                <w:color w:val="000000"/>
                <w:sz w:val="24"/>
                <w:szCs w:val="24"/>
              </w:rPr>
              <w:tab/>
              <w:t>który</w:t>
            </w:r>
          </w:p>
          <w:p w14:paraId="6CCA5C4F" w14:textId="77777777" w:rsidR="005E5842" w:rsidRPr="00E066A1" w:rsidRDefault="005E5842" w:rsidP="00E066A1">
            <w:pPr>
              <w:pStyle w:val="Inne0"/>
              <w:tabs>
                <w:tab w:val="left" w:pos="1142"/>
                <w:tab w:val="left" w:pos="2597"/>
                <w:tab w:val="left" w:pos="3629"/>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posiada</w:t>
            </w:r>
            <w:r w:rsidRPr="00E066A1">
              <w:rPr>
                <w:rFonts w:ascii="Times New Roman" w:hAnsi="Times New Roman" w:cs="Times New Roman"/>
                <w:color w:val="000000"/>
                <w:sz w:val="24"/>
                <w:szCs w:val="24"/>
              </w:rPr>
              <w:tab/>
              <w:t>odpowiedni</w:t>
            </w:r>
            <w:r w:rsidRPr="00E066A1">
              <w:rPr>
                <w:rFonts w:ascii="Times New Roman" w:hAnsi="Times New Roman" w:cs="Times New Roman"/>
                <w:color w:val="000000"/>
                <w:sz w:val="24"/>
                <w:szCs w:val="24"/>
              </w:rPr>
              <w:tab/>
              <w:t>zakres</w:t>
            </w:r>
            <w:r w:rsidRPr="00E066A1">
              <w:rPr>
                <w:rFonts w:ascii="Times New Roman" w:hAnsi="Times New Roman" w:cs="Times New Roman"/>
                <w:color w:val="000000"/>
                <w:sz w:val="24"/>
                <w:szCs w:val="24"/>
              </w:rPr>
              <w:tab/>
              <w:t>wiedzy,</w:t>
            </w:r>
          </w:p>
          <w:p w14:paraId="2A4434AB" w14:textId="77777777" w:rsidR="005E5842" w:rsidRPr="00E066A1" w:rsidRDefault="005E5842" w:rsidP="00E066A1">
            <w:pPr>
              <w:pStyle w:val="Inne0"/>
              <w:tabs>
                <w:tab w:val="left" w:pos="1858"/>
                <w:tab w:val="left" w:pos="2443"/>
                <w:tab w:val="left" w:pos="4042"/>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doświadczenia</w:t>
            </w:r>
            <w:r w:rsidRPr="00E066A1">
              <w:rPr>
                <w:rFonts w:ascii="Times New Roman" w:hAnsi="Times New Roman" w:cs="Times New Roman"/>
                <w:color w:val="000000"/>
                <w:sz w:val="24"/>
                <w:szCs w:val="24"/>
              </w:rPr>
              <w:tab/>
              <w:t>i</w:t>
            </w:r>
            <w:r w:rsidRPr="00E066A1">
              <w:rPr>
                <w:rFonts w:ascii="Times New Roman" w:hAnsi="Times New Roman" w:cs="Times New Roman"/>
                <w:color w:val="000000"/>
                <w:sz w:val="24"/>
                <w:szCs w:val="24"/>
              </w:rPr>
              <w:tab/>
              <w:t>kompetencji</w:t>
            </w:r>
            <w:r w:rsidRPr="00E066A1">
              <w:rPr>
                <w:rFonts w:ascii="Times New Roman" w:hAnsi="Times New Roman" w:cs="Times New Roman"/>
                <w:color w:val="000000"/>
                <w:sz w:val="24"/>
                <w:szCs w:val="24"/>
              </w:rPr>
              <w:tab/>
              <w:t>dla</w:t>
            </w:r>
          </w:p>
          <w:p w14:paraId="15A5423D" w14:textId="77777777" w:rsidR="005E5842" w:rsidRPr="00E066A1" w:rsidRDefault="005E5842" w:rsidP="00E066A1">
            <w:pPr>
              <w:pStyle w:val="Inne0"/>
              <w:tabs>
                <w:tab w:val="left" w:pos="1987"/>
                <w:tab w:val="left" w:pos="3110"/>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przeprowadzenia</w:t>
            </w:r>
            <w:r w:rsidRPr="00E066A1">
              <w:rPr>
                <w:rFonts w:ascii="Times New Roman" w:hAnsi="Times New Roman" w:cs="Times New Roman"/>
                <w:color w:val="000000"/>
                <w:sz w:val="24"/>
                <w:szCs w:val="24"/>
              </w:rPr>
              <w:tab/>
              <w:t>działań</w:t>
            </w:r>
            <w:r w:rsidRPr="00E066A1">
              <w:rPr>
                <w:rFonts w:ascii="Times New Roman" w:hAnsi="Times New Roman" w:cs="Times New Roman"/>
                <w:color w:val="000000"/>
                <w:sz w:val="24"/>
                <w:szCs w:val="24"/>
              </w:rPr>
              <w:tab/>
              <w:t>informacyjno-</w:t>
            </w:r>
          </w:p>
          <w:p w14:paraId="71CEE579" w14:textId="2CCDF573" w:rsidR="005E5842" w:rsidRPr="00E066A1" w:rsidRDefault="005E5842" w:rsidP="00C80D73">
            <w:pPr>
              <w:pStyle w:val="Inne0"/>
              <w:tabs>
                <w:tab w:val="left" w:pos="1574"/>
                <w:tab w:val="left" w:pos="2160"/>
                <w:tab w:val="left" w:pos="3283"/>
                <w:tab w:val="left" w:pos="3744"/>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edukacyjnych,</w:t>
            </w:r>
            <w:r w:rsidRPr="00E066A1">
              <w:rPr>
                <w:rFonts w:ascii="Times New Roman" w:hAnsi="Times New Roman" w:cs="Times New Roman"/>
                <w:color w:val="000000"/>
                <w:sz w:val="24"/>
                <w:szCs w:val="24"/>
              </w:rPr>
              <w:tab/>
              <w:t>np.</w:t>
            </w:r>
            <w:r w:rsidRPr="00E066A1">
              <w:rPr>
                <w:rFonts w:ascii="Times New Roman" w:hAnsi="Times New Roman" w:cs="Times New Roman"/>
                <w:color w:val="000000"/>
                <w:sz w:val="24"/>
                <w:szCs w:val="24"/>
              </w:rPr>
              <w:tab/>
              <w:t>uzyskany</w:t>
            </w:r>
            <w:r w:rsidRPr="00E066A1">
              <w:rPr>
                <w:rFonts w:ascii="Times New Roman" w:hAnsi="Times New Roman" w:cs="Times New Roman"/>
                <w:color w:val="000000"/>
                <w:sz w:val="24"/>
                <w:szCs w:val="24"/>
              </w:rPr>
              <w:tab/>
              <w:t>w</w:t>
            </w:r>
            <w:r w:rsidRPr="00E066A1">
              <w:rPr>
                <w:rFonts w:ascii="Times New Roman" w:hAnsi="Times New Roman" w:cs="Times New Roman"/>
                <w:color w:val="000000"/>
                <w:sz w:val="24"/>
                <w:szCs w:val="24"/>
              </w:rPr>
              <w:tab/>
              <w:t>czasie</w:t>
            </w:r>
            <w:r w:rsidR="00C80D73">
              <w:rPr>
                <w:rFonts w:ascii="Times New Roman" w:hAnsi="Times New Roman" w:cs="Times New Roman"/>
                <w:color w:val="000000"/>
                <w:sz w:val="24"/>
                <w:szCs w:val="24"/>
              </w:rPr>
              <w:t xml:space="preserve"> uczestnictwa</w:t>
            </w:r>
            <w:r w:rsidRPr="00E066A1">
              <w:rPr>
                <w:rFonts w:ascii="Times New Roman" w:hAnsi="Times New Roman" w:cs="Times New Roman"/>
                <w:color w:val="000000"/>
                <w:sz w:val="24"/>
                <w:szCs w:val="24"/>
              </w:rPr>
              <w:t xml:space="preserve"> w szkoleniu prowadzonym przez eksperta w ramach PPZ.</w:t>
            </w:r>
          </w:p>
        </w:tc>
      </w:tr>
      <w:tr w:rsidR="005E5842" w:rsidRPr="00E066A1" w14:paraId="15CD2AD8" w14:textId="77777777" w:rsidTr="000D773B">
        <w:trPr>
          <w:trHeight w:hRule="exact" w:val="2559"/>
          <w:jc w:val="center"/>
        </w:trPr>
        <w:tc>
          <w:tcPr>
            <w:tcW w:w="4536" w:type="dxa"/>
            <w:tcBorders>
              <w:top w:val="single" w:sz="4" w:space="0" w:color="auto"/>
              <w:left w:val="single" w:sz="4" w:space="0" w:color="auto"/>
              <w:bottom w:val="single" w:sz="4" w:space="0" w:color="auto"/>
            </w:tcBorders>
            <w:shd w:val="clear" w:color="auto" w:fill="FFFFFF"/>
          </w:tcPr>
          <w:p w14:paraId="0A6F97F4" w14:textId="77777777" w:rsidR="005E5842" w:rsidRPr="00E066A1" w:rsidRDefault="005E5842" w:rsidP="00E066A1">
            <w:pPr>
              <w:pStyle w:val="Inne0"/>
              <w:tabs>
                <w:tab w:val="left" w:pos="1032"/>
                <w:tab w:val="left" w:pos="2050"/>
                <w:tab w:val="left" w:pos="3504"/>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Ocena</w:t>
            </w:r>
            <w:r w:rsidRPr="00E066A1">
              <w:rPr>
                <w:rFonts w:ascii="Times New Roman" w:hAnsi="Times New Roman" w:cs="Times New Roman"/>
                <w:color w:val="000000"/>
                <w:sz w:val="24"/>
                <w:szCs w:val="24"/>
              </w:rPr>
              <w:tab/>
              <w:t>ryzyka</w:t>
            </w:r>
            <w:r w:rsidRPr="00E066A1">
              <w:rPr>
                <w:rFonts w:ascii="Times New Roman" w:hAnsi="Times New Roman" w:cs="Times New Roman"/>
                <w:color w:val="000000"/>
                <w:sz w:val="24"/>
                <w:szCs w:val="24"/>
              </w:rPr>
              <w:tab/>
              <w:t>poważnego</w:t>
            </w:r>
            <w:r w:rsidRPr="00E066A1">
              <w:rPr>
                <w:rFonts w:ascii="Times New Roman" w:hAnsi="Times New Roman" w:cs="Times New Roman"/>
                <w:color w:val="000000"/>
                <w:sz w:val="24"/>
                <w:szCs w:val="24"/>
              </w:rPr>
              <w:tab/>
              <w:t>złamania</w:t>
            </w:r>
          </w:p>
          <w:p w14:paraId="7625301F" w14:textId="77777777" w:rsidR="005E5842" w:rsidRPr="00E066A1" w:rsidRDefault="005E5842"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osteoporotycznego narzędziem FRAX</w:t>
            </w:r>
          </w:p>
        </w:tc>
        <w:tc>
          <w:tcPr>
            <w:tcW w:w="4541" w:type="dxa"/>
            <w:tcBorders>
              <w:top w:val="single" w:sz="4" w:space="0" w:color="auto"/>
              <w:left w:val="single" w:sz="4" w:space="0" w:color="auto"/>
              <w:bottom w:val="single" w:sz="4" w:space="0" w:color="auto"/>
              <w:right w:val="single" w:sz="4" w:space="0" w:color="auto"/>
            </w:tcBorders>
            <w:shd w:val="clear" w:color="auto" w:fill="FFFFFF"/>
            <w:vAlign w:val="bottom"/>
          </w:tcPr>
          <w:p w14:paraId="0BB41638" w14:textId="77777777" w:rsidR="005E5842" w:rsidRPr="00E066A1" w:rsidRDefault="005E5842" w:rsidP="00E066A1">
            <w:pPr>
              <w:pStyle w:val="Inne0"/>
              <w:tabs>
                <w:tab w:val="left" w:pos="1234"/>
                <w:tab w:val="left" w:pos="2083"/>
                <w:tab w:val="left" w:pos="2923"/>
                <w:tab w:val="left" w:pos="3418"/>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Osoba przyjmująca formularz musi posiadać odpowiedni</w:t>
            </w:r>
            <w:r w:rsidRPr="00E066A1">
              <w:rPr>
                <w:rFonts w:ascii="Times New Roman" w:hAnsi="Times New Roman" w:cs="Times New Roman"/>
                <w:color w:val="000000"/>
                <w:sz w:val="24"/>
                <w:szCs w:val="24"/>
              </w:rPr>
              <w:tab/>
              <w:t>poziom</w:t>
            </w:r>
            <w:r w:rsidRPr="00E066A1">
              <w:rPr>
                <w:rFonts w:ascii="Times New Roman" w:hAnsi="Times New Roman" w:cs="Times New Roman"/>
                <w:color w:val="000000"/>
                <w:sz w:val="24"/>
                <w:szCs w:val="24"/>
              </w:rPr>
              <w:tab/>
              <w:t>wiedzy</w:t>
            </w:r>
            <w:r w:rsidRPr="00E066A1">
              <w:rPr>
                <w:rFonts w:ascii="Times New Roman" w:hAnsi="Times New Roman" w:cs="Times New Roman"/>
                <w:color w:val="000000"/>
                <w:sz w:val="24"/>
                <w:szCs w:val="24"/>
              </w:rPr>
              <w:tab/>
              <w:t>dla</w:t>
            </w:r>
            <w:r w:rsidRPr="00E066A1">
              <w:rPr>
                <w:rFonts w:ascii="Times New Roman" w:hAnsi="Times New Roman" w:cs="Times New Roman"/>
                <w:color w:val="000000"/>
                <w:sz w:val="24"/>
                <w:szCs w:val="24"/>
              </w:rPr>
              <w:tab/>
              <w:t>udzielenia</w:t>
            </w:r>
          </w:p>
          <w:p w14:paraId="16C506B0" w14:textId="77777777" w:rsidR="005E5842" w:rsidRPr="00E066A1" w:rsidRDefault="005E5842" w:rsidP="00E066A1">
            <w:pPr>
              <w:pStyle w:val="Inne0"/>
              <w:tabs>
                <w:tab w:val="left" w:pos="1550"/>
                <w:tab w:val="left" w:pos="1877"/>
                <w:tab w:val="left" w:pos="3408"/>
              </w:tabs>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wyczerpującej</w:t>
            </w:r>
            <w:r w:rsidRPr="00E066A1">
              <w:rPr>
                <w:rFonts w:ascii="Times New Roman" w:hAnsi="Times New Roman" w:cs="Times New Roman"/>
                <w:color w:val="000000"/>
                <w:sz w:val="24"/>
                <w:szCs w:val="24"/>
              </w:rPr>
              <w:tab/>
              <w:t>i</w:t>
            </w:r>
            <w:r w:rsidRPr="00E066A1">
              <w:rPr>
                <w:rFonts w:ascii="Times New Roman" w:hAnsi="Times New Roman" w:cs="Times New Roman"/>
                <w:color w:val="000000"/>
                <w:sz w:val="24"/>
                <w:szCs w:val="24"/>
              </w:rPr>
              <w:tab/>
              <w:t>merytorycznie</w:t>
            </w:r>
            <w:r w:rsidRPr="00E066A1">
              <w:rPr>
                <w:rFonts w:ascii="Times New Roman" w:hAnsi="Times New Roman" w:cs="Times New Roman"/>
                <w:color w:val="000000"/>
                <w:sz w:val="24"/>
                <w:szCs w:val="24"/>
              </w:rPr>
              <w:tab/>
              <w:t>poprawnej</w:t>
            </w:r>
          </w:p>
          <w:p w14:paraId="1F9E4516" w14:textId="6233E919" w:rsidR="005E5842" w:rsidRPr="00E066A1" w:rsidRDefault="005E5842"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odpowiedzi na związane z realizowanym programem pytania świadczeniobiorców, np. uzyskany dzięki udziałowi w szkoleniu dla</w:t>
            </w:r>
            <w:r w:rsidR="00C80D73">
              <w:rPr>
                <w:rFonts w:ascii="Times New Roman" w:hAnsi="Times New Roman" w:cs="Times New Roman"/>
                <w:color w:val="000000"/>
                <w:sz w:val="24"/>
                <w:szCs w:val="24"/>
              </w:rPr>
              <w:t xml:space="preserve"> personelu medycznego realizowanym w ramach programu. </w:t>
            </w:r>
          </w:p>
        </w:tc>
      </w:tr>
      <w:tr w:rsidR="005E5842" w:rsidRPr="00E066A1" w14:paraId="1C062B8E" w14:textId="77777777" w:rsidTr="00066F6C">
        <w:trPr>
          <w:trHeight w:hRule="exact" w:val="398"/>
          <w:jc w:val="center"/>
        </w:trPr>
        <w:tc>
          <w:tcPr>
            <w:tcW w:w="4536" w:type="dxa"/>
            <w:tcBorders>
              <w:top w:val="single" w:sz="4" w:space="0" w:color="auto"/>
              <w:left w:val="single" w:sz="4" w:space="0" w:color="auto"/>
            </w:tcBorders>
            <w:shd w:val="clear" w:color="auto" w:fill="FFFFFF"/>
            <w:vAlign w:val="center"/>
          </w:tcPr>
          <w:p w14:paraId="48BEBD0E" w14:textId="77777777" w:rsidR="005E5842" w:rsidRPr="00E066A1" w:rsidRDefault="005E5842"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Pomiar BMD za pomocą DXA</w:t>
            </w:r>
          </w:p>
        </w:tc>
        <w:tc>
          <w:tcPr>
            <w:tcW w:w="4541" w:type="dxa"/>
            <w:tcBorders>
              <w:top w:val="single" w:sz="4" w:space="0" w:color="auto"/>
              <w:left w:val="single" w:sz="4" w:space="0" w:color="auto"/>
              <w:right w:val="single" w:sz="4" w:space="0" w:color="auto"/>
            </w:tcBorders>
            <w:shd w:val="clear" w:color="auto" w:fill="FFFFFF"/>
            <w:vAlign w:val="center"/>
          </w:tcPr>
          <w:p w14:paraId="5867AA89" w14:textId="77777777" w:rsidR="005E5842" w:rsidRPr="00E066A1" w:rsidRDefault="005E5842"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Zgodnie z obowiązującymi przepisami.</w:t>
            </w:r>
          </w:p>
        </w:tc>
      </w:tr>
      <w:tr w:rsidR="005E5842" w:rsidRPr="00E066A1" w14:paraId="2BFED2DB" w14:textId="77777777" w:rsidTr="00C80D73">
        <w:trPr>
          <w:trHeight w:hRule="exact" w:val="2160"/>
          <w:jc w:val="center"/>
        </w:trPr>
        <w:tc>
          <w:tcPr>
            <w:tcW w:w="4536" w:type="dxa"/>
            <w:tcBorders>
              <w:top w:val="single" w:sz="4" w:space="0" w:color="auto"/>
              <w:left w:val="single" w:sz="4" w:space="0" w:color="auto"/>
              <w:bottom w:val="single" w:sz="4" w:space="0" w:color="auto"/>
            </w:tcBorders>
            <w:shd w:val="clear" w:color="auto" w:fill="FFFFFF"/>
          </w:tcPr>
          <w:p w14:paraId="33C19BA3" w14:textId="77777777" w:rsidR="005E5842" w:rsidRPr="00E066A1" w:rsidRDefault="005E5842"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lastRenderedPageBreak/>
              <w:t>Lekarska wizyta podsumowująca</w:t>
            </w:r>
          </w:p>
        </w:tc>
        <w:tc>
          <w:tcPr>
            <w:tcW w:w="4541" w:type="dxa"/>
            <w:tcBorders>
              <w:top w:val="single" w:sz="4" w:space="0" w:color="auto"/>
              <w:left w:val="single" w:sz="4" w:space="0" w:color="auto"/>
              <w:bottom w:val="single" w:sz="4" w:space="0" w:color="auto"/>
              <w:right w:val="single" w:sz="4" w:space="0" w:color="auto"/>
            </w:tcBorders>
            <w:shd w:val="clear" w:color="auto" w:fill="FFFFFF"/>
            <w:vAlign w:val="center"/>
          </w:tcPr>
          <w:p w14:paraId="19C4522C" w14:textId="4F4269F2" w:rsidR="005E5842" w:rsidRPr="00C80D73" w:rsidRDefault="005E5842">
            <w:pPr>
              <w:pStyle w:val="Inne0"/>
              <w:numPr>
                <w:ilvl w:val="0"/>
                <w:numId w:val="36"/>
              </w:numPr>
              <w:tabs>
                <w:tab w:val="left" w:pos="360"/>
                <w:tab w:val="left" w:pos="1454"/>
                <w:tab w:val="left" w:pos="2990"/>
              </w:tabs>
              <w:spacing w:after="0" w:line="276" w:lineRule="auto"/>
              <w:rPr>
                <w:rFonts w:ascii="Times New Roman" w:hAnsi="Times New Roman" w:cs="Times New Roman"/>
                <w:sz w:val="24"/>
                <w:szCs w:val="24"/>
              </w:rPr>
            </w:pPr>
            <w:r w:rsidRPr="00E066A1">
              <w:rPr>
                <w:rFonts w:ascii="Times New Roman" w:hAnsi="Times New Roman" w:cs="Times New Roman"/>
                <w:color w:val="000000"/>
                <w:sz w:val="24"/>
                <w:szCs w:val="24"/>
              </w:rPr>
              <w:t>Lekarz</w:t>
            </w:r>
            <w:r w:rsidRPr="00E066A1">
              <w:rPr>
                <w:rFonts w:ascii="Times New Roman" w:hAnsi="Times New Roman" w:cs="Times New Roman"/>
                <w:color w:val="000000"/>
                <w:sz w:val="24"/>
                <w:szCs w:val="24"/>
              </w:rPr>
              <w:tab/>
              <w:t>posiadający</w:t>
            </w:r>
            <w:r w:rsidRPr="00E066A1">
              <w:rPr>
                <w:rFonts w:ascii="Times New Roman" w:hAnsi="Times New Roman" w:cs="Times New Roman"/>
                <w:color w:val="000000"/>
                <w:sz w:val="24"/>
                <w:szCs w:val="24"/>
              </w:rPr>
              <w:tab/>
              <w:t>doświadczenie</w:t>
            </w:r>
            <w:r w:rsidR="00C80D73">
              <w:rPr>
                <w:rFonts w:ascii="Times New Roman" w:hAnsi="Times New Roman" w:cs="Times New Roman"/>
                <w:sz w:val="24"/>
                <w:szCs w:val="24"/>
              </w:rPr>
              <w:t xml:space="preserve"> </w:t>
            </w:r>
            <w:r w:rsidRPr="00C80D73">
              <w:rPr>
                <w:rFonts w:ascii="Times New Roman" w:hAnsi="Times New Roman" w:cs="Times New Roman"/>
                <w:color w:val="000000"/>
                <w:sz w:val="24"/>
                <w:szCs w:val="24"/>
              </w:rPr>
              <w:t>w diagnostyce,</w:t>
            </w:r>
            <w:r w:rsidRPr="00C80D73">
              <w:rPr>
                <w:rFonts w:ascii="Times New Roman" w:hAnsi="Times New Roman" w:cs="Times New Roman"/>
                <w:color w:val="000000"/>
                <w:sz w:val="24"/>
                <w:szCs w:val="24"/>
              </w:rPr>
              <w:tab/>
              <w:t>różnicowaniu</w:t>
            </w:r>
            <w:r w:rsidR="00C80D73">
              <w:rPr>
                <w:rFonts w:ascii="Times New Roman" w:hAnsi="Times New Roman" w:cs="Times New Roman"/>
                <w:color w:val="000000"/>
                <w:sz w:val="24"/>
                <w:szCs w:val="24"/>
              </w:rPr>
              <w:t xml:space="preserve"> </w:t>
            </w:r>
            <w:r w:rsidRPr="00C80D73">
              <w:rPr>
                <w:rFonts w:ascii="Times New Roman" w:hAnsi="Times New Roman" w:cs="Times New Roman"/>
                <w:color w:val="000000"/>
                <w:sz w:val="24"/>
                <w:szCs w:val="24"/>
              </w:rPr>
              <w:t>i</w:t>
            </w:r>
            <w:r w:rsidR="00C80D73">
              <w:rPr>
                <w:rFonts w:ascii="Times New Roman" w:hAnsi="Times New Roman" w:cs="Times New Roman"/>
                <w:color w:val="000000"/>
                <w:sz w:val="24"/>
                <w:szCs w:val="24"/>
              </w:rPr>
              <w:t xml:space="preserve"> </w:t>
            </w:r>
            <w:r w:rsidRPr="00C80D73">
              <w:rPr>
                <w:rFonts w:ascii="Times New Roman" w:hAnsi="Times New Roman" w:cs="Times New Roman"/>
                <w:color w:val="000000"/>
                <w:sz w:val="24"/>
                <w:szCs w:val="24"/>
              </w:rPr>
              <w:t>leczeniu</w:t>
            </w:r>
            <w:r w:rsidR="00C80D73">
              <w:rPr>
                <w:rFonts w:ascii="Times New Roman" w:hAnsi="Times New Roman" w:cs="Times New Roman"/>
                <w:sz w:val="24"/>
                <w:szCs w:val="24"/>
              </w:rPr>
              <w:t xml:space="preserve"> </w:t>
            </w:r>
            <w:r w:rsidRPr="00C80D73">
              <w:rPr>
                <w:rFonts w:ascii="Times New Roman" w:hAnsi="Times New Roman" w:cs="Times New Roman"/>
                <w:color w:val="000000"/>
                <w:sz w:val="24"/>
                <w:szCs w:val="24"/>
              </w:rPr>
              <w:t>osteoporozy,</w:t>
            </w:r>
          </w:p>
          <w:p w14:paraId="1B913083" w14:textId="77777777" w:rsidR="005E5842" w:rsidRPr="00C80D73" w:rsidRDefault="005E5842">
            <w:pPr>
              <w:pStyle w:val="Inne0"/>
              <w:numPr>
                <w:ilvl w:val="0"/>
                <w:numId w:val="36"/>
              </w:numPr>
              <w:tabs>
                <w:tab w:val="left" w:pos="360"/>
                <w:tab w:val="left" w:pos="1454"/>
                <w:tab w:val="left" w:pos="2990"/>
              </w:tabs>
              <w:spacing w:after="0" w:line="276" w:lineRule="auto"/>
              <w:rPr>
                <w:rFonts w:ascii="Times New Roman" w:hAnsi="Times New Roman" w:cs="Times New Roman"/>
                <w:sz w:val="24"/>
                <w:szCs w:val="24"/>
              </w:rPr>
            </w:pPr>
            <w:r w:rsidRPr="00C80D73">
              <w:rPr>
                <w:rFonts w:ascii="Times New Roman" w:hAnsi="Times New Roman" w:cs="Times New Roman"/>
                <w:color w:val="000000"/>
                <w:sz w:val="24"/>
                <w:szCs w:val="24"/>
              </w:rPr>
              <w:t>lub lekarz po ukończeniu prowadzonego w ramach PPZ przez eksperta szkolenia dla personelu medycznego.</w:t>
            </w:r>
          </w:p>
        </w:tc>
      </w:tr>
    </w:tbl>
    <w:p w14:paraId="421C1763" w14:textId="77777777" w:rsidR="00AD2146" w:rsidRDefault="00AD2146" w:rsidP="00E066A1">
      <w:pPr>
        <w:pStyle w:val="Teksttreci0"/>
        <w:spacing w:after="100" w:line="276" w:lineRule="auto"/>
        <w:jc w:val="both"/>
        <w:rPr>
          <w:rFonts w:ascii="Times New Roman" w:hAnsi="Times New Roman" w:cs="Times New Roman"/>
          <w:color w:val="000000"/>
          <w:sz w:val="24"/>
          <w:szCs w:val="24"/>
        </w:rPr>
      </w:pPr>
    </w:p>
    <w:p w14:paraId="67138300" w14:textId="2B8C5816" w:rsidR="00AD39EA" w:rsidRPr="00C80D73" w:rsidRDefault="005E5842" w:rsidP="00E066A1">
      <w:pPr>
        <w:pStyle w:val="Teksttreci0"/>
        <w:spacing w:after="100" w:line="276" w:lineRule="auto"/>
        <w:jc w:val="both"/>
        <w:rPr>
          <w:rFonts w:ascii="Times New Roman" w:hAnsi="Times New Roman" w:cs="Times New Roman"/>
          <w:sz w:val="24"/>
          <w:szCs w:val="24"/>
        </w:rPr>
      </w:pPr>
      <w:r w:rsidRPr="00AD2146">
        <w:rPr>
          <w:rFonts w:ascii="Times New Roman" w:hAnsi="Times New Roman" w:cs="Times New Roman"/>
          <w:color w:val="000000"/>
          <w:sz w:val="24"/>
          <w:szCs w:val="24"/>
        </w:rPr>
        <w:t>W przypadku</w:t>
      </w:r>
      <w:r w:rsidRPr="00E066A1">
        <w:rPr>
          <w:rFonts w:ascii="Times New Roman" w:hAnsi="Times New Roman" w:cs="Times New Roman"/>
          <w:color w:val="000000"/>
          <w:sz w:val="24"/>
          <w:szCs w:val="24"/>
        </w:rPr>
        <w:t xml:space="preserve"> wymagań dotyczących sprzętu oraz ośrodka, w którym realizowany będzie program polityki zdrowotnej </w:t>
      </w:r>
      <w:r w:rsidR="007621B0">
        <w:rPr>
          <w:rFonts w:ascii="Times New Roman" w:hAnsi="Times New Roman" w:cs="Times New Roman"/>
          <w:color w:val="000000"/>
          <w:sz w:val="24"/>
          <w:szCs w:val="24"/>
        </w:rPr>
        <w:t xml:space="preserve">zastosowanie </w:t>
      </w:r>
      <w:r w:rsidR="00C80D73">
        <w:rPr>
          <w:rFonts w:ascii="Times New Roman" w:hAnsi="Times New Roman" w:cs="Times New Roman"/>
          <w:color w:val="000000"/>
          <w:sz w:val="24"/>
          <w:szCs w:val="24"/>
        </w:rPr>
        <w:t xml:space="preserve">będą miały </w:t>
      </w:r>
      <w:r w:rsidR="007621B0">
        <w:rPr>
          <w:rFonts w:ascii="Times New Roman" w:hAnsi="Times New Roman" w:cs="Times New Roman"/>
          <w:color w:val="000000"/>
          <w:sz w:val="24"/>
          <w:szCs w:val="24"/>
        </w:rPr>
        <w:t>obowiązujące przepisy prawa</w:t>
      </w:r>
      <w:r w:rsidRPr="00E066A1">
        <w:rPr>
          <w:rFonts w:ascii="Times New Roman" w:hAnsi="Times New Roman" w:cs="Times New Roman"/>
          <w:color w:val="000000"/>
          <w:sz w:val="24"/>
          <w:szCs w:val="24"/>
        </w:rPr>
        <w:t>, w tym dotyczących zasad bezpieczeństwa i higieny pracy.</w:t>
      </w:r>
      <w:r w:rsidR="00C80D73">
        <w:rPr>
          <w:rFonts w:ascii="Times New Roman" w:hAnsi="Times New Roman" w:cs="Times New Roman"/>
          <w:sz w:val="24"/>
          <w:szCs w:val="24"/>
        </w:rPr>
        <w:t xml:space="preserve"> </w:t>
      </w:r>
      <w:r w:rsidRPr="00E066A1">
        <w:rPr>
          <w:rFonts w:ascii="Times New Roman" w:hAnsi="Times New Roman" w:cs="Times New Roman"/>
          <w:color w:val="000000"/>
          <w:sz w:val="24"/>
          <w:szCs w:val="24"/>
        </w:rPr>
        <w:t xml:space="preserve">Realizator </w:t>
      </w:r>
      <w:r w:rsidR="007621B0">
        <w:rPr>
          <w:rFonts w:ascii="Times New Roman" w:hAnsi="Times New Roman" w:cs="Times New Roman"/>
          <w:color w:val="000000"/>
          <w:sz w:val="24"/>
          <w:szCs w:val="24"/>
        </w:rPr>
        <w:t>zapewni</w:t>
      </w:r>
      <w:r w:rsidRPr="00E066A1">
        <w:rPr>
          <w:rFonts w:ascii="Times New Roman" w:hAnsi="Times New Roman" w:cs="Times New Roman"/>
          <w:color w:val="000000"/>
          <w:sz w:val="24"/>
          <w:szCs w:val="24"/>
        </w:rPr>
        <w:t xml:space="preserve"> wyposażenie i warunki lokalowe adekwatne do planowanych działań.</w:t>
      </w:r>
      <w:bookmarkStart w:id="64" w:name="bookmark198"/>
      <w:bookmarkEnd w:id="64"/>
    </w:p>
    <w:p w14:paraId="6BFF63CA" w14:textId="77777777" w:rsidR="00AD39EA" w:rsidRPr="00E066A1" w:rsidRDefault="00AD39EA" w:rsidP="00E066A1">
      <w:pPr>
        <w:pStyle w:val="Teksttreci0"/>
        <w:spacing w:after="100" w:line="276" w:lineRule="auto"/>
        <w:jc w:val="both"/>
        <w:rPr>
          <w:rFonts w:ascii="Times New Roman" w:hAnsi="Times New Roman" w:cs="Times New Roman"/>
          <w:color w:val="000000"/>
          <w:sz w:val="24"/>
          <w:szCs w:val="24"/>
        </w:rPr>
      </w:pPr>
    </w:p>
    <w:p w14:paraId="255F7B5A" w14:textId="72957D93" w:rsidR="00E61ADA" w:rsidRPr="00E066A1" w:rsidRDefault="00545639">
      <w:pPr>
        <w:pStyle w:val="Teksttreci0"/>
        <w:numPr>
          <w:ilvl w:val="0"/>
          <w:numId w:val="9"/>
        </w:numPr>
        <w:spacing w:after="100" w:line="276" w:lineRule="auto"/>
        <w:ind w:left="426"/>
        <w:jc w:val="both"/>
        <w:rPr>
          <w:rFonts w:ascii="Times New Roman" w:hAnsi="Times New Roman" w:cs="Times New Roman"/>
          <w:b/>
          <w:sz w:val="24"/>
          <w:szCs w:val="24"/>
        </w:rPr>
      </w:pPr>
      <w:r w:rsidRPr="00E066A1">
        <w:rPr>
          <w:rFonts w:ascii="Times New Roman" w:hAnsi="Times New Roman" w:cs="Times New Roman"/>
          <w:b/>
          <w:sz w:val="24"/>
          <w:szCs w:val="24"/>
        </w:rPr>
        <w:t>Sposób monitorowania i ewaluacji programu polityki zdrowotnej</w:t>
      </w:r>
    </w:p>
    <w:p w14:paraId="233119CD" w14:textId="68A3B949" w:rsidR="00D40F0B" w:rsidRDefault="00545639" w:rsidP="00D40F0B">
      <w:pPr>
        <w:pStyle w:val="Teksttreci20"/>
        <w:numPr>
          <w:ilvl w:val="0"/>
          <w:numId w:val="46"/>
        </w:numPr>
        <w:tabs>
          <w:tab w:val="left" w:pos="952"/>
        </w:tabs>
        <w:spacing w:line="276" w:lineRule="auto"/>
        <w:rPr>
          <w:sz w:val="24"/>
          <w:szCs w:val="24"/>
        </w:rPr>
      </w:pPr>
      <w:bookmarkStart w:id="65" w:name="_Hlk126134739"/>
      <w:bookmarkStart w:id="66" w:name="_Hlk126134816"/>
      <w:r w:rsidRPr="00E066A1">
        <w:rPr>
          <w:sz w:val="24"/>
          <w:szCs w:val="24"/>
        </w:rPr>
        <w:t xml:space="preserve">Monitorowanie programu polityki zdrowotnej </w:t>
      </w:r>
      <w:r w:rsidR="00C80D73">
        <w:rPr>
          <w:sz w:val="24"/>
          <w:szCs w:val="24"/>
        </w:rPr>
        <w:t xml:space="preserve">zakończy się </w:t>
      </w:r>
      <w:r w:rsidRPr="00E066A1">
        <w:rPr>
          <w:sz w:val="24"/>
          <w:szCs w:val="24"/>
        </w:rPr>
        <w:t>wraz z końcem realizacji</w:t>
      </w:r>
      <w:r w:rsidR="00AA240A" w:rsidRPr="00E066A1">
        <w:rPr>
          <w:sz w:val="24"/>
          <w:szCs w:val="24"/>
        </w:rPr>
        <w:t xml:space="preserve"> </w:t>
      </w:r>
      <w:r w:rsidRPr="00E066A1">
        <w:rPr>
          <w:sz w:val="24"/>
          <w:szCs w:val="24"/>
        </w:rPr>
        <w:t xml:space="preserve">programu polityki zdrowotnej. Monitorowanie </w:t>
      </w:r>
      <w:r w:rsidR="00C80D73">
        <w:rPr>
          <w:sz w:val="24"/>
          <w:szCs w:val="24"/>
        </w:rPr>
        <w:t>będzie</w:t>
      </w:r>
      <w:r w:rsidRPr="00E066A1">
        <w:rPr>
          <w:sz w:val="24"/>
          <w:szCs w:val="24"/>
        </w:rPr>
        <w:t xml:space="preserve"> prowadzone na bieżąco, np.</w:t>
      </w:r>
      <w:r w:rsidR="00AA240A" w:rsidRPr="00E066A1">
        <w:rPr>
          <w:sz w:val="24"/>
          <w:szCs w:val="24"/>
        </w:rPr>
        <w:t xml:space="preserve"> </w:t>
      </w:r>
      <w:r w:rsidRPr="00E066A1">
        <w:rPr>
          <w:sz w:val="24"/>
          <w:szCs w:val="24"/>
        </w:rPr>
        <w:t xml:space="preserve">przez tworzenie raportów okresowych. Monitorowanie </w:t>
      </w:r>
      <w:r w:rsidR="00C80D73">
        <w:rPr>
          <w:sz w:val="24"/>
          <w:szCs w:val="24"/>
        </w:rPr>
        <w:t>będzie</w:t>
      </w:r>
      <w:r w:rsidRPr="00E066A1">
        <w:rPr>
          <w:sz w:val="24"/>
          <w:szCs w:val="24"/>
        </w:rPr>
        <w:t xml:space="preserve"> składać </w:t>
      </w:r>
      <w:r w:rsidR="00C80D73">
        <w:rPr>
          <w:sz w:val="24"/>
          <w:szCs w:val="24"/>
        </w:rPr>
        <w:t xml:space="preserve">się </w:t>
      </w:r>
      <w:r w:rsidRPr="00E066A1">
        <w:rPr>
          <w:sz w:val="24"/>
          <w:szCs w:val="24"/>
        </w:rPr>
        <w:t>z oceny</w:t>
      </w:r>
      <w:r w:rsidR="00AA240A" w:rsidRPr="00E066A1">
        <w:rPr>
          <w:sz w:val="24"/>
          <w:szCs w:val="24"/>
        </w:rPr>
        <w:t xml:space="preserve"> </w:t>
      </w:r>
      <w:r w:rsidRPr="00E066A1">
        <w:rPr>
          <w:sz w:val="24"/>
          <w:szCs w:val="24"/>
        </w:rPr>
        <w:t>zgłaszalności do programu polityki zdrowotnej, w tym</w:t>
      </w:r>
      <w:r w:rsidR="00D40F0B">
        <w:rPr>
          <w:sz w:val="24"/>
          <w:szCs w:val="24"/>
        </w:rPr>
        <w:t xml:space="preserve"> z </w:t>
      </w:r>
      <w:r w:rsidR="00D40F0B" w:rsidRPr="00D40F0B">
        <w:rPr>
          <w:sz w:val="24"/>
          <w:szCs w:val="24"/>
        </w:rPr>
        <w:t>następujących wskaźników:</w:t>
      </w:r>
    </w:p>
    <w:p w14:paraId="2DB79EEC" w14:textId="3719DCE0" w:rsidR="00D40F0B" w:rsidRDefault="00D40F0B" w:rsidP="00D40F0B">
      <w:pPr>
        <w:pStyle w:val="Teksttreci20"/>
        <w:numPr>
          <w:ilvl w:val="0"/>
          <w:numId w:val="44"/>
        </w:numPr>
        <w:tabs>
          <w:tab w:val="left" w:pos="952"/>
        </w:tabs>
        <w:spacing w:line="276" w:lineRule="auto"/>
        <w:rPr>
          <w:sz w:val="24"/>
          <w:szCs w:val="24"/>
        </w:rPr>
      </w:pPr>
      <w:r w:rsidRPr="00D40F0B">
        <w:rPr>
          <w:sz w:val="24"/>
          <w:szCs w:val="24"/>
        </w:rPr>
        <w:t>liczba osób, które uczestniczyły w szkoleniach dla personelu medycznego, z podziałem na zawody medyczne;</w:t>
      </w:r>
    </w:p>
    <w:p w14:paraId="78588837" w14:textId="1DCEB322" w:rsidR="00D40F0B" w:rsidRDefault="00D40F0B" w:rsidP="00D40F0B">
      <w:pPr>
        <w:pStyle w:val="Teksttreci20"/>
        <w:numPr>
          <w:ilvl w:val="0"/>
          <w:numId w:val="44"/>
        </w:numPr>
        <w:tabs>
          <w:tab w:val="left" w:pos="952"/>
        </w:tabs>
        <w:spacing w:line="276" w:lineRule="auto"/>
        <w:rPr>
          <w:sz w:val="24"/>
          <w:szCs w:val="24"/>
        </w:rPr>
      </w:pPr>
      <w:r w:rsidRPr="00D40F0B">
        <w:rPr>
          <w:sz w:val="24"/>
          <w:szCs w:val="24"/>
        </w:rPr>
        <w:t>liczba świadczeniobiorców, którzy zostali poddani działaniom edukacyjno-informacyjnym;</w:t>
      </w:r>
    </w:p>
    <w:p w14:paraId="776EA6EE" w14:textId="671762C1" w:rsidR="00D40F0B" w:rsidRDefault="00D40F0B" w:rsidP="00D40F0B">
      <w:pPr>
        <w:pStyle w:val="Teksttreci20"/>
        <w:numPr>
          <w:ilvl w:val="0"/>
          <w:numId w:val="44"/>
        </w:numPr>
        <w:tabs>
          <w:tab w:val="left" w:pos="952"/>
        </w:tabs>
        <w:spacing w:line="276" w:lineRule="auto"/>
        <w:rPr>
          <w:sz w:val="24"/>
          <w:szCs w:val="24"/>
        </w:rPr>
      </w:pPr>
      <w:r w:rsidRPr="00D40F0B">
        <w:rPr>
          <w:sz w:val="24"/>
          <w:szCs w:val="24"/>
        </w:rPr>
        <w:t>liczba świadczeniobiorców, którzy zostali zakwalifikowani do FRAX, z podziałem na wyniki &lt;5% i &gt;5%;</w:t>
      </w:r>
    </w:p>
    <w:p w14:paraId="6B06E987" w14:textId="71437745" w:rsidR="00D40F0B" w:rsidRDefault="00D40F0B" w:rsidP="00D40F0B">
      <w:pPr>
        <w:pStyle w:val="Teksttreci20"/>
        <w:numPr>
          <w:ilvl w:val="0"/>
          <w:numId w:val="44"/>
        </w:numPr>
        <w:tabs>
          <w:tab w:val="left" w:pos="952"/>
        </w:tabs>
        <w:spacing w:line="276" w:lineRule="auto"/>
        <w:rPr>
          <w:sz w:val="24"/>
          <w:szCs w:val="24"/>
        </w:rPr>
      </w:pPr>
      <w:r w:rsidRPr="00D40F0B">
        <w:rPr>
          <w:sz w:val="24"/>
          <w:szCs w:val="24"/>
        </w:rPr>
        <w:t>liczba świadczeniobiorców, którzy w ramach programu wykonali pomiar BMD za pomocą DXA, z podziałem na grupy wyników T-score (grupa &gt;-1; grupa &lt;-1 i &gt;-2,5; grupa &lt;-2,5).</w:t>
      </w:r>
    </w:p>
    <w:p w14:paraId="0339BDA2" w14:textId="0EABCD4E" w:rsidR="00D40F0B" w:rsidRDefault="00D40F0B" w:rsidP="00D40F0B">
      <w:pPr>
        <w:pStyle w:val="Teksttreci20"/>
        <w:numPr>
          <w:ilvl w:val="0"/>
          <w:numId w:val="44"/>
        </w:numPr>
        <w:tabs>
          <w:tab w:val="left" w:pos="952"/>
        </w:tabs>
        <w:spacing w:line="276" w:lineRule="auto"/>
        <w:rPr>
          <w:sz w:val="24"/>
          <w:szCs w:val="24"/>
        </w:rPr>
      </w:pPr>
      <w:r w:rsidRPr="00D40F0B">
        <w:rPr>
          <w:sz w:val="24"/>
          <w:szCs w:val="24"/>
        </w:rPr>
        <w:t>liczba świadczeniobiorców, którzy wzięli udział w lekarskiej wizycie podsumowującej;</w:t>
      </w:r>
    </w:p>
    <w:p w14:paraId="592C9E61" w14:textId="6DB33467" w:rsidR="00D40F0B" w:rsidRDefault="00D40F0B" w:rsidP="00D40F0B">
      <w:pPr>
        <w:pStyle w:val="Teksttreci20"/>
        <w:numPr>
          <w:ilvl w:val="0"/>
          <w:numId w:val="44"/>
        </w:numPr>
        <w:tabs>
          <w:tab w:val="left" w:pos="952"/>
        </w:tabs>
        <w:spacing w:line="276" w:lineRule="auto"/>
        <w:rPr>
          <w:sz w:val="24"/>
          <w:szCs w:val="24"/>
        </w:rPr>
      </w:pPr>
      <w:r w:rsidRPr="00D40F0B">
        <w:rPr>
          <w:sz w:val="24"/>
          <w:szCs w:val="24"/>
        </w:rPr>
        <w:t>liczba świadczeniobiorców, którzy nie zostali objęci działaniami w ramach programu polityki zdrowotnej, wraz ze wskazaniem powodów;</w:t>
      </w:r>
    </w:p>
    <w:p w14:paraId="1FC4E7BA" w14:textId="3F3B94A0" w:rsidR="00D40F0B" w:rsidRDefault="00D40F0B" w:rsidP="00D40F0B">
      <w:pPr>
        <w:pStyle w:val="Teksttreci20"/>
        <w:numPr>
          <w:ilvl w:val="0"/>
          <w:numId w:val="44"/>
        </w:numPr>
        <w:tabs>
          <w:tab w:val="left" w:pos="952"/>
        </w:tabs>
        <w:spacing w:line="276" w:lineRule="auto"/>
        <w:rPr>
          <w:sz w:val="24"/>
          <w:szCs w:val="24"/>
        </w:rPr>
      </w:pPr>
      <w:r w:rsidRPr="00D40F0B">
        <w:rPr>
          <w:sz w:val="24"/>
          <w:szCs w:val="24"/>
        </w:rPr>
        <w:t>liczba osób, która zrezygnowała z udziału w programie.</w:t>
      </w:r>
    </w:p>
    <w:bookmarkEnd w:id="65"/>
    <w:p w14:paraId="5B0BEE28" w14:textId="7D62AB3A" w:rsidR="00E61ADA" w:rsidRPr="00E066A1" w:rsidRDefault="00D40F0B" w:rsidP="00D40F0B">
      <w:pPr>
        <w:pStyle w:val="Teksttreci20"/>
        <w:shd w:val="clear" w:color="auto" w:fill="auto"/>
        <w:tabs>
          <w:tab w:val="left" w:pos="952"/>
        </w:tabs>
        <w:spacing w:line="276" w:lineRule="auto"/>
        <w:ind w:firstLine="0"/>
        <w:rPr>
          <w:sz w:val="24"/>
          <w:szCs w:val="24"/>
        </w:rPr>
      </w:pPr>
      <w:r>
        <w:rPr>
          <w:sz w:val="24"/>
          <w:szCs w:val="24"/>
        </w:rPr>
        <w:tab/>
      </w:r>
      <w:bookmarkStart w:id="67" w:name="_Hlk126134758"/>
      <w:r w:rsidR="00C80D73">
        <w:rPr>
          <w:sz w:val="24"/>
          <w:szCs w:val="24"/>
        </w:rPr>
        <w:t xml:space="preserve">Zostanie przygotowana ankieta </w:t>
      </w:r>
      <w:r w:rsidR="00545639" w:rsidRPr="00E066A1">
        <w:rPr>
          <w:sz w:val="24"/>
          <w:szCs w:val="24"/>
        </w:rPr>
        <w:t>satysfakcji z udziału w programie polityki zdrowotnej</w:t>
      </w:r>
      <w:r w:rsidR="00C80D73">
        <w:rPr>
          <w:sz w:val="24"/>
          <w:szCs w:val="24"/>
        </w:rPr>
        <w:t>.</w:t>
      </w:r>
    </w:p>
    <w:bookmarkEnd w:id="66"/>
    <w:bookmarkEnd w:id="67"/>
    <w:p w14:paraId="73BC52CA" w14:textId="1F7EDDFE" w:rsidR="00E61ADA" w:rsidRPr="00E066A1" w:rsidRDefault="00545639" w:rsidP="00D40F0B">
      <w:pPr>
        <w:pStyle w:val="Teksttreci20"/>
        <w:numPr>
          <w:ilvl w:val="0"/>
          <w:numId w:val="46"/>
        </w:numPr>
        <w:shd w:val="clear" w:color="auto" w:fill="auto"/>
        <w:tabs>
          <w:tab w:val="left" w:pos="952"/>
        </w:tabs>
        <w:spacing w:line="276" w:lineRule="auto"/>
        <w:rPr>
          <w:sz w:val="24"/>
          <w:szCs w:val="24"/>
        </w:rPr>
      </w:pPr>
      <w:r w:rsidRPr="00E066A1">
        <w:rPr>
          <w:sz w:val="24"/>
          <w:szCs w:val="24"/>
        </w:rPr>
        <w:t xml:space="preserve">Ewaluację </w:t>
      </w:r>
      <w:r w:rsidR="00C80D73">
        <w:rPr>
          <w:sz w:val="24"/>
          <w:szCs w:val="24"/>
        </w:rPr>
        <w:t xml:space="preserve">rozpocznie się </w:t>
      </w:r>
      <w:r w:rsidRPr="00E066A1">
        <w:rPr>
          <w:sz w:val="24"/>
          <w:szCs w:val="24"/>
        </w:rPr>
        <w:t>po zakończeniu realizacji programu polityki zdrowotnej.</w:t>
      </w:r>
      <w:r w:rsidR="00AA240A" w:rsidRPr="00E066A1">
        <w:rPr>
          <w:sz w:val="24"/>
          <w:szCs w:val="24"/>
        </w:rPr>
        <w:t xml:space="preserve"> </w:t>
      </w:r>
      <w:r w:rsidRPr="00E066A1">
        <w:rPr>
          <w:sz w:val="24"/>
          <w:szCs w:val="24"/>
        </w:rPr>
        <w:t>Ewaluacja opiera się</w:t>
      </w:r>
      <w:r w:rsidR="00C80D73">
        <w:rPr>
          <w:sz w:val="24"/>
          <w:szCs w:val="24"/>
        </w:rPr>
        <w:t xml:space="preserve"> będzie</w:t>
      </w:r>
      <w:r w:rsidRPr="00E066A1">
        <w:rPr>
          <w:sz w:val="24"/>
          <w:szCs w:val="24"/>
        </w:rPr>
        <w:t xml:space="preserve"> na porównaniu stanu sprzed wprowadzenia działań w ramach programu</w:t>
      </w:r>
      <w:r w:rsidR="00AA240A" w:rsidRPr="00E066A1">
        <w:rPr>
          <w:sz w:val="24"/>
          <w:szCs w:val="24"/>
        </w:rPr>
        <w:t xml:space="preserve"> </w:t>
      </w:r>
      <w:r w:rsidRPr="00E066A1">
        <w:rPr>
          <w:sz w:val="24"/>
          <w:szCs w:val="24"/>
        </w:rPr>
        <w:t>polityki zdrowotnej i stanu po jego zakończeniu, z wykorzystaniem co najmniej</w:t>
      </w:r>
      <w:r w:rsidR="00AA240A" w:rsidRPr="00E066A1">
        <w:rPr>
          <w:sz w:val="24"/>
          <w:szCs w:val="24"/>
        </w:rPr>
        <w:t xml:space="preserve"> </w:t>
      </w:r>
      <w:r w:rsidRPr="00E066A1">
        <w:rPr>
          <w:sz w:val="24"/>
          <w:szCs w:val="24"/>
        </w:rPr>
        <w:t>zdefiniowanych wcześniej mierników efektywności odpowiadających celom programu</w:t>
      </w:r>
      <w:r w:rsidR="00AA240A" w:rsidRPr="00E066A1">
        <w:rPr>
          <w:sz w:val="24"/>
          <w:szCs w:val="24"/>
        </w:rPr>
        <w:t xml:space="preserve"> </w:t>
      </w:r>
      <w:r w:rsidRPr="00E066A1">
        <w:rPr>
          <w:sz w:val="24"/>
          <w:szCs w:val="24"/>
        </w:rPr>
        <w:t>polityki zdrowotnej.</w:t>
      </w:r>
    </w:p>
    <w:p w14:paraId="4315C07B" w14:textId="49A2971C" w:rsidR="000D33E9" w:rsidRDefault="000D33E9" w:rsidP="000D33E9">
      <w:pPr>
        <w:pStyle w:val="Teksttreci20"/>
        <w:tabs>
          <w:tab w:val="left" w:pos="952"/>
        </w:tabs>
        <w:spacing w:line="276" w:lineRule="auto"/>
        <w:ind w:left="360"/>
        <w:rPr>
          <w:sz w:val="24"/>
          <w:szCs w:val="24"/>
        </w:rPr>
      </w:pPr>
      <w:r>
        <w:rPr>
          <w:sz w:val="24"/>
          <w:szCs w:val="24"/>
        </w:rPr>
        <w:tab/>
      </w:r>
      <w:r w:rsidRPr="00542BBC">
        <w:rPr>
          <w:sz w:val="24"/>
          <w:szCs w:val="24"/>
        </w:rPr>
        <w:t xml:space="preserve">W ramach ewaluacji </w:t>
      </w:r>
      <w:r>
        <w:rPr>
          <w:sz w:val="24"/>
          <w:szCs w:val="24"/>
        </w:rPr>
        <w:t xml:space="preserve">zostanie zbadany </w:t>
      </w:r>
      <w:r w:rsidRPr="00542BBC">
        <w:rPr>
          <w:sz w:val="24"/>
          <w:szCs w:val="24"/>
        </w:rPr>
        <w:t>stopni</w:t>
      </w:r>
      <w:r>
        <w:rPr>
          <w:sz w:val="24"/>
          <w:szCs w:val="24"/>
        </w:rPr>
        <w:t>eń</w:t>
      </w:r>
      <w:r w:rsidRPr="00542BBC">
        <w:rPr>
          <w:sz w:val="24"/>
          <w:szCs w:val="24"/>
        </w:rPr>
        <w:t xml:space="preserve"> zrealizowania potrzeby zdrowotnej populacji docelowej na obszarze objętym PPZ, wyrażonej w:</w:t>
      </w:r>
    </w:p>
    <w:p w14:paraId="34860706" w14:textId="77777777" w:rsidR="000D33E9" w:rsidRDefault="000D33E9" w:rsidP="000D33E9">
      <w:pPr>
        <w:pStyle w:val="Teksttreci20"/>
        <w:numPr>
          <w:ilvl w:val="0"/>
          <w:numId w:val="41"/>
        </w:numPr>
        <w:tabs>
          <w:tab w:val="left" w:pos="952"/>
        </w:tabs>
        <w:spacing w:line="276" w:lineRule="auto"/>
        <w:rPr>
          <w:sz w:val="24"/>
          <w:szCs w:val="24"/>
        </w:rPr>
      </w:pPr>
      <w:r w:rsidRPr="00542BBC">
        <w:rPr>
          <w:sz w:val="24"/>
          <w:szCs w:val="24"/>
        </w:rPr>
        <w:t>liczbie osób uczestniczących w szkoleniach dla personelu medycznego, u których doszło do wzrostu poziomu wiedzy (przeprowadzenie pre-testu i post-testu),</w:t>
      </w:r>
    </w:p>
    <w:p w14:paraId="14C850F1" w14:textId="77777777" w:rsidR="000D33E9" w:rsidRDefault="000D33E9" w:rsidP="000D33E9">
      <w:pPr>
        <w:pStyle w:val="Teksttreci20"/>
        <w:numPr>
          <w:ilvl w:val="0"/>
          <w:numId w:val="41"/>
        </w:numPr>
        <w:tabs>
          <w:tab w:val="left" w:pos="952"/>
        </w:tabs>
        <w:spacing w:line="276" w:lineRule="auto"/>
        <w:rPr>
          <w:sz w:val="24"/>
          <w:szCs w:val="24"/>
        </w:rPr>
      </w:pPr>
      <w:r w:rsidRPr="00542BBC">
        <w:rPr>
          <w:sz w:val="24"/>
          <w:szCs w:val="24"/>
        </w:rPr>
        <w:t xml:space="preserve">liczbie uczestników działań informacyjno-edukacyjnych, u których doszło do wzrostu </w:t>
      </w:r>
      <w:r w:rsidRPr="00542BBC">
        <w:rPr>
          <w:sz w:val="24"/>
          <w:szCs w:val="24"/>
        </w:rPr>
        <w:lastRenderedPageBreak/>
        <w:t>poziomu wiedzy (przeprowadzenie pre-testu i post-testu),</w:t>
      </w:r>
    </w:p>
    <w:p w14:paraId="63D5E645" w14:textId="77777777" w:rsidR="000D33E9" w:rsidRDefault="000D33E9" w:rsidP="000D33E9">
      <w:pPr>
        <w:pStyle w:val="Teksttreci20"/>
        <w:numPr>
          <w:ilvl w:val="0"/>
          <w:numId w:val="41"/>
        </w:numPr>
        <w:tabs>
          <w:tab w:val="left" w:pos="952"/>
        </w:tabs>
        <w:spacing w:line="276" w:lineRule="auto"/>
        <w:rPr>
          <w:sz w:val="24"/>
          <w:szCs w:val="24"/>
        </w:rPr>
      </w:pPr>
      <w:r w:rsidRPr="00542BBC">
        <w:rPr>
          <w:sz w:val="24"/>
          <w:szCs w:val="24"/>
        </w:rPr>
        <w:t>odsetku świadczeniobiorców z wynikiem FRAX &gt;5% względem wszystkich świadczeniobiorców, dla których w ramach programu wykonano ocenę FRAX;</w:t>
      </w:r>
    </w:p>
    <w:p w14:paraId="1FEFD22A" w14:textId="701BE6A9" w:rsidR="000D33E9" w:rsidRDefault="000D33E9" w:rsidP="000D33E9">
      <w:pPr>
        <w:pStyle w:val="Teksttreci20"/>
        <w:numPr>
          <w:ilvl w:val="0"/>
          <w:numId w:val="41"/>
        </w:numPr>
        <w:tabs>
          <w:tab w:val="left" w:pos="952"/>
        </w:tabs>
        <w:spacing w:line="276" w:lineRule="auto"/>
        <w:rPr>
          <w:sz w:val="24"/>
          <w:szCs w:val="24"/>
        </w:rPr>
      </w:pPr>
      <w:r w:rsidRPr="00542BBC">
        <w:rPr>
          <w:sz w:val="24"/>
          <w:szCs w:val="24"/>
        </w:rPr>
        <w:t>odsetku świadczeniobiorców z wynikiem BMD T-score &lt;-2,5 względem wszystkich świadczeniobiorców, dla których przeprowadzono badanie DXA w ramach programu</w:t>
      </w:r>
      <w:r w:rsidR="00334EB3">
        <w:rPr>
          <w:sz w:val="24"/>
          <w:szCs w:val="24"/>
        </w:rPr>
        <w:t>.</w:t>
      </w:r>
    </w:p>
    <w:p w14:paraId="796CE21F" w14:textId="107CA419" w:rsidR="00334EB3" w:rsidRDefault="00334EB3" w:rsidP="00334EB3">
      <w:pPr>
        <w:pStyle w:val="Teksttreci20"/>
        <w:tabs>
          <w:tab w:val="left" w:pos="952"/>
        </w:tabs>
        <w:spacing w:line="276" w:lineRule="auto"/>
        <w:ind w:firstLine="0"/>
        <w:rPr>
          <w:sz w:val="24"/>
          <w:szCs w:val="24"/>
        </w:rPr>
      </w:pPr>
      <w:r>
        <w:rPr>
          <w:sz w:val="24"/>
          <w:szCs w:val="24"/>
        </w:rPr>
        <w:t>Mierniki efektywności PPZ:</w:t>
      </w:r>
    </w:p>
    <w:p w14:paraId="18B00237" w14:textId="3351B520" w:rsidR="00334EB3" w:rsidRDefault="00334EB3" w:rsidP="00334EB3">
      <w:pPr>
        <w:pStyle w:val="Teksttreci20"/>
        <w:tabs>
          <w:tab w:val="left" w:pos="952"/>
        </w:tabs>
        <w:spacing w:line="276" w:lineRule="auto"/>
        <w:ind w:firstLine="0"/>
        <w:rPr>
          <w:sz w:val="24"/>
          <w:szCs w:val="24"/>
        </w:rPr>
      </w:pPr>
    </w:p>
    <w:p w14:paraId="609E487E" w14:textId="1FA0A99E" w:rsidR="00334EB3" w:rsidRDefault="00334EB3" w:rsidP="00334EB3">
      <w:pPr>
        <w:pStyle w:val="Teksttreci20"/>
        <w:tabs>
          <w:tab w:val="left" w:pos="952"/>
        </w:tabs>
        <w:spacing w:line="276" w:lineRule="auto"/>
        <w:ind w:firstLine="0"/>
        <w:rPr>
          <w:sz w:val="24"/>
          <w:szCs w:val="24"/>
        </w:rPr>
      </w:pPr>
      <w:r w:rsidRPr="00334EB3">
        <w:rPr>
          <w:noProof/>
          <w:lang w:bidi="ar-SA"/>
        </w:rPr>
        <w:drawing>
          <wp:inline distT="0" distB="0" distL="0" distR="0" wp14:anchorId="4152739C" wp14:editId="066FDAAA">
            <wp:extent cx="6459279" cy="24003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62168" cy="2401374"/>
                    </a:xfrm>
                    <a:prstGeom prst="rect">
                      <a:avLst/>
                    </a:prstGeom>
                    <a:noFill/>
                    <a:ln>
                      <a:noFill/>
                    </a:ln>
                  </pic:spPr>
                </pic:pic>
              </a:graphicData>
            </a:graphic>
          </wp:inline>
        </w:drawing>
      </w:r>
    </w:p>
    <w:p w14:paraId="41FC972D" w14:textId="7AE92EFB" w:rsidR="00E066A1" w:rsidRDefault="00E066A1" w:rsidP="00E066A1">
      <w:pPr>
        <w:pStyle w:val="Teksttreci20"/>
        <w:shd w:val="clear" w:color="auto" w:fill="auto"/>
        <w:tabs>
          <w:tab w:val="left" w:pos="952"/>
        </w:tabs>
        <w:spacing w:line="276" w:lineRule="auto"/>
        <w:ind w:left="720" w:firstLine="0"/>
        <w:rPr>
          <w:sz w:val="24"/>
          <w:szCs w:val="24"/>
        </w:rPr>
      </w:pPr>
    </w:p>
    <w:p w14:paraId="5EBC49CB" w14:textId="77777777" w:rsidR="002A5BCA" w:rsidRPr="00E066A1" w:rsidRDefault="002A5BCA" w:rsidP="00E066A1">
      <w:pPr>
        <w:pStyle w:val="Teksttreci20"/>
        <w:shd w:val="clear" w:color="auto" w:fill="auto"/>
        <w:tabs>
          <w:tab w:val="left" w:pos="952"/>
        </w:tabs>
        <w:spacing w:line="276" w:lineRule="auto"/>
        <w:ind w:left="720" w:firstLine="0"/>
        <w:rPr>
          <w:sz w:val="24"/>
          <w:szCs w:val="24"/>
        </w:rPr>
      </w:pPr>
    </w:p>
    <w:p w14:paraId="5D4501BB" w14:textId="31C0FB81" w:rsidR="00E066A1" w:rsidRPr="00E066A1" w:rsidRDefault="00545639">
      <w:pPr>
        <w:pStyle w:val="Teksttreci40"/>
        <w:numPr>
          <w:ilvl w:val="0"/>
          <w:numId w:val="9"/>
        </w:numPr>
        <w:shd w:val="clear" w:color="auto" w:fill="auto"/>
        <w:tabs>
          <w:tab w:val="left" w:pos="1004"/>
        </w:tabs>
        <w:spacing w:line="276" w:lineRule="auto"/>
        <w:jc w:val="both"/>
        <w:rPr>
          <w:sz w:val="24"/>
          <w:szCs w:val="24"/>
        </w:rPr>
      </w:pPr>
      <w:r w:rsidRPr="00E066A1">
        <w:rPr>
          <w:sz w:val="24"/>
          <w:szCs w:val="24"/>
        </w:rPr>
        <w:t>Budżet programu polityki zdrowotnej</w:t>
      </w:r>
      <w:bookmarkStart w:id="68" w:name="bookmark243"/>
      <w:bookmarkStart w:id="69" w:name="bookmark241"/>
      <w:bookmarkStart w:id="70" w:name="bookmark242"/>
      <w:bookmarkStart w:id="71" w:name="bookmark244"/>
      <w:bookmarkEnd w:id="68"/>
    </w:p>
    <w:p w14:paraId="145EE7BA" w14:textId="14F8E91C" w:rsidR="00C95517" w:rsidRPr="00E066A1" w:rsidRDefault="00C95517">
      <w:pPr>
        <w:pStyle w:val="Teksttreci40"/>
        <w:numPr>
          <w:ilvl w:val="0"/>
          <w:numId w:val="23"/>
        </w:numPr>
        <w:shd w:val="clear" w:color="auto" w:fill="auto"/>
        <w:tabs>
          <w:tab w:val="left" w:pos="1004"/>
        </w:tabs>
        <w:spacing w:line="276" w:lineRule="auto"/>
        <w:jc w:val="both"/>
        <w:rPr>
          <w:sz w:val="24"/>
          <w:szCs w:val="24"/>
        </w:rPr>
      </w:pPr>
      <w:r w:rsidRPr="00E066A1">
        <w:rPr>
          <w:sz w:val="24"/>
          <w:szCs w:val="24"/>
        </w:rPr>
        <w:t>Koszty jednostkowe</w:t>
      </w:r>
      <w:bookmarkEnd w:id="69"/>
      <w:bookmarkEnd w:id="70"/>
      <w:bookmarkEnd w:id="71"/>
    </w:p>
    <w:p w14:paraId="75AE8C96" w14:textId="445444A3" w:rsidR="00FD2B3F" w:rsidRDefault="00FD2B3F" w:rsidP="00FD2B3F">
      <w:pPr>
        <w:pStyle w:val="Teksttreci0"/>
        <w:tabs>
          <w:tab w:val="left" w:pos="900"/>
        </w:tabs>
        <w:spacing w:line="276" w:lineRule="auto"/>
        <w:jc w:val="both"/>
        <w:rPr>
          <w:rFonts w:ascii="Times New Roman" w:hAnsi="Times New Roman" w:cs="Times New Roman"/>
          <w:color w:val="000000"/>
          <w:sz w:val="24"/>
          <w:szCs w:val="24"/>
        </w:rPr>
      </w:pPr>
    </w:p>
    <w:p w14:paraId="189818BA" w14:textId="797D0D60" w:rsidR="00FD2B3F" w:rsidRPr="00E066A1" w:rsidRDefault="00FD2B3F" w:rsidP="00FD2B3F">
      <w:pPr>
        <w:pStyle w:val="Teksttreci0"/>
        <w:spacing w:line="276" w:lineRule="auto"/>
        <w:ind w:firstLine="540"/>
        <w:jc w:val="both"/>
        <w:rPr>
          <w:rFonts w:ascii="Times New Roman" w:hAnsi="Times New Roman" w:cs="Times New Roman"/>
          <w:sz w:val="24"/>
          <w:szCs w:val="24"/>
        </w:rPr>
      </w:pPr>
      <w:r w:rsidRPr="00E066A1">
        <w:rPr>
          <w:rFonts w:ascii="Times New Roman" w:hAnsi="Times New Roman" w:cs="Times New Roman"/>
          <w:color w:val="000000"/>
          <w:sz w:val="24"/>
          <w:szCs w:val="24"/>
        </w:rPr>
        <w:t>W poniższej tabeli przedstawiono zestawienie kosztów jednostkowych PPZ</w:t>
      </w:r>
      <w:r w:rsidR="00457B4E">
        <w:rPr>
          <w:rFonts w:ascii="Times New Roman" w:hAnsi="Times New Roman" w:cs="Times New Roman"/>
          <w:color w:val="000000"/>
          <w:sz w:val="24"/>
          <w:szCs w:val="24"/>
        </w:rPr>
        <w:t xml:space="preserve"> w całym okresie realizacji:</w:t>
      </w:r>
    </w:p>
    <w:p w14:paraId="0D7834EC" w14:textId="07D92E06" w:rsidR="00492627" w:rsidRDefault="00D407BD" w:rsidP="002A5BCA">
      <w:pPr>
        <w:pStyle w:val="Teksttreci0"/>
        <w:spacing w:line="276" w:lineRule="auto"/>
        <w:rPr>
          <w:rFonts w:ascii="Times New Roman" w:hAnsi="Times New Roman" w:cs="Times New Roman"/>
          <w:color w:val="000000"/>
          <w:sz w:val="24"/>
          <w:szCs w:val="24"/>
        </w:rPr>
      </w:pPr>
      <w:r w:rsidRPr="00D407BD">
        <w:rPr>
          <w:noProof/>
          <w:lang w:bidi="ar-SA"/>
        </w:rPr>
        <w:drawing>
          <wp:inline distT="0" distB="0" distL="0" distR="0" wp14:anchorId="560367BC" wp14:editId="6682F256">
            <wp:extent cx="6231255" cy="3030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31255" cy="3030855"/>
                    </a:xfrm>
                    <a:prstGeom prst="rect">
                      <a:avLst/>
                    </a:prstGeom>
                    <a:noFill/>
                    <a:ln>
                      <a:noFill/>
                    </a:ln>
                  </pic:spPr>
                </pic:pic>
              </a:graphicData>
            </a:graphic>
          </wp:inline>
        </w:drawing>
      </w:r>
    </w:p>
    <w:p w14:paraId="7A9BEF5C" w14:textId="0DFCE3F1" w:rsidR="00C95517" w:rsidRDefault="00C95517">
      <w:pPr>
        <w:pStyle w:val="Nagwek30"/>
        <w:keepNext/>
        <w:keepLines/>
        <w:numPr>
          <w:ilvl w:val="0"/>
          <w:numId w:val="23"/>
        </w:numPr>
        <w:shd w:val="clear" w:color="auto" w:fill="auto"/>
        <w:tabs>
          <w:tab w:val="left" w:pos="692"/>
        </w:tabs>
        <w:spacing w:after="360" w:line="276" w:lineRule="auto"/>
        <w:jc w:val="both"/>
        <w:rPr>
          <w:sz w:val="24"/>
          <w:szCs w:val="24"/>
        </w:rPr>
      </w:pPr>
      <w:bookmarkStart w:id="72" w:name="bookmark255"/>
      <w:bookmarkStart w:id="73" w:name="bookmark253"/>
      <w:bookmarkStart w:id="74" w:name="bookmark254"/>
      <w:bookmarkStart w:id="75" w:name="bookmark256"/>
      <w:bookmarkEnd w:id="72"/>
      <w:r w:rsidRPr="00E066A1">
        <w:rPr>
          <w:sz w:val="24"/>
          <w:szCs w:val="24"/>
        </w:rPr>
        <w:lastRenderedPageBreak/>
        <w:t>Koszty całkowite</w:t>
      </w:r>
      <w:bookmarkEnd w:id="73"/>
      <w:bookmarkEnd w:id="74"/>
      <w:bookmarkEnd w:id="75"/>
    </w:p>
    <w:p w14:paraId="39C157C3" w14:textId="2765D43A" w:rsidR="00350768" w:rsidRPr="00E066A1" w:rsidRDefault="00D407BD" w:rsidP="00350768">
      <w:pPr>
        <w:pStyle w:val="Nagwek30"/>
        <w:keepNext/>
        <w:keepLines/>
        <w:shd w:val="clear" w:color="auto" w:fill="auto"/>
        <w:tabs>
          <w:tab w:val="left" w:pos="692"/>
        </w:tabs>
        <w:spacing w:after="360" w:line="276" w:lineRule="auto"/>
        <w:jc w:val="both"/>
        <w:rPr>
          <w:sz w:val="24"/>
          <w:szCs w:val="24"/>
        </w:rPr>
      </w:pPr>
      <w:r w:rsidRPr="00D407BD">
        <w:rPr>
          <w:noProof/>
          <w:lang w:bidi="ar-SA"/>
        </w:rPr>
        <w:drawing>
          <wp:inline distT="0" distB="0" distL="0" distR="0" wp14:anchorId="255AD9B2" wp14:editId="42C6C7FC">
            <wp:extent cx="6231255" cy="212661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31255" cy="2126615"/>
                    </a:xfrm>
                    <a:prstGeom prst="rect">
                      <a:avLst/>
                    </a:prstGeom>
                    <a:noFill/>
                    <a:ln>
                      <a:noFill/>
                    </a:ln>
                  </pic:spPr>
                </pic:pic>
              </a:graphicData>
            </a:graphic>
          </wp:inline>
        </w:drawing>
      </w:r>
    </w:p>
    <w:p w14:paraId="22B5A67A" w14:textId="77777777" w:rsidR="00C95517" w:rsidRPr="00E066A1" w:rsidRDefault="00C95517" w:rsidP="00E066A1">
      <w:pPr>
        <w:pStyle w:val="Podpistabeli0"/>
        <w:spacing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Koszty całkowite realizacji PPZ:</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15"/>
        <w:gridCol w:w="6562"/>
      </w:tblGrid>
      <w:tr w:rsidR="00C95517" w:rsidRPr="00E066A1" w14:paraId="0B718ACD" w14:textId="77777777" w:rsidTr="00C57D38">
        <w:trPr>
          <w:trHeight w:hRule="exact" w:val="461"/>
          <w:jc w:val="center"/>
        </w:trPr>
        <w:tc>
          <w:tcPr>
            <w:tcW w:w="2515" w:type="dxa"/>
            <w:tcBorders>
              <w:top w:val="single" w:sz="4" w:space="0" w:color="auto"/>
              <w:left w:val="single" w:sz="4" w:space="0" w:color="auto"/>
            </w:tcBorders>
            <w:shd w:val="clear" w:color="auto" w:fill="D9D9D9"/>
            <w:vAlign w:val="center"/>
          </w:tcPr>
          <w:p w14:paraId="2DC06E4A" w14:textId="77777777" w:rsidR="00C95517" w:rsidRPr="002A5BCA" w:rsidRDefault="00C95517" w:rsidP="00E066A1">
            <w:pPr>
              <w:pStyle w:val="Inne0"/>
              <w:spacing w:after="0" w:line="276" w:lineRule="auto"/>
              <w:jc w:val="both"/>
              <w:rPr>
                <w:rFonts w:ascii="Times New Roman" w:hAnsi="Times New Roman" w:cs="Times New Roman"/>
                <w:sz w:val="24"/>
                <w:szCs w:val="24"/>
              </w:rPr>
            </w:pPr>
            <w:r w:rsidRPr="002A5BCA">
              <w:rPr>
                <w:rFonts w:ascii="Times New Roman" w:hAnsi="Times New Roman" w:cs="Times New Roman"/>
                <w:color w:val="000000"/>
                <w:sz w:val="24"/>
                <w:szCs w:val="24"/>
              </w:rPr>
              <w:t>Rok realizacji PPZ</w:t>
            </w:r>
          </w:p>
        </w:tc>
        <w:tc>
          <w:tcPr>
            <w:tcW w:w="6562" w:type="dxa"/>
            <w:tcBorders>
              <w:top w:val="single" w:sz="4" w:space="0" w:color="auto"/>
              <w:left w:val="single" w:sz="4" w:space="0" w:color="auto"/>
              <w:right w:val="single" w:sz="4" w:space="0" w:color="auto"/>
            </w:tcBorders>
            <w:shd w:val="clear" w:color="auto" w:fill="D9D9D9"/>
            <w:vAlign w:val="center"/>
          </w:tcPr>
          <w:p w14:paraId="4A53C9CD" w14:textId="77777777" w:rsidR="00C95517" w:rsidRPr="002A5BCA" w:rsidRDefault="00C95517" w:rsidP="00E066A1">
            <w:pPr>
              <w:pStyle w:val="Inne0"/>
              <w:spacing w:after="0" w:line="276" w:lineRule="auto"/>
              <w:jc w:val="both"/>
              <w:rPr>
                <w:rFonts w:ascii="Times New Roman" w:hAnsi="Times New Roman" w:cs="Times New Roman"/>
                <w:sz w:val="24"/>
                <w:szCs w:val="24"/>
              </w:rPr>
            </w:pPr>
            <w:r w:rsidRPr="002A5BCA">
              <w:rPr>
                <w:rFonts w:ascii="Times New Roman" w:hAnsi="Times New Roman" w:cs="Times New Roman"/>
                <w:color w:val="000000"/>
                <w:sz w:val="24"/>
                <w:szCs w:val="24"/>
              </w:rPr>
              <w:t>Koszt całkowity</w:t>
            </w:r>
          </w:p>
        </w:tc>
      </w:tr>
      <w:tr w:rsidR="00C95517" w:rsidRPr="00E066A1" w14:paraId="1DC35E4E" w14:textId="77777777" w:rsidTr="00C57D38">
        <w:trPr>
          <w:trHeight w:hRule="exact" w:val="456"/>
          <w:jc w:val="center"/>
        </w:trPr>
        <w:tc>
          <w:tcPr>
            <w:tcW w:w="2515" w:type="dxa"/>
            <w:tcBorders>
              <w:top w:val="single" w:sz="4" w:space="0" w:color="auto"/>
              <w:left w:val="single" w:sz="4" w:space="0" w:color="auto"/>
            </w:tcBorders>
            <w:shd w:val="clear" w:color="auto" w:fill="FFFFFF"/>
            <w:vAlign w:val="center"/>
          </w:tcPr>
          <w:p w14:paraId="1DE69F56" w14:textId="6AD5F9CF" w:rsidR="00C95517" w:rsidRPr="00E066A1" w:rsidRDefault="00C95517"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20</w:t>
            </w:r>
            <w:r w:rsidR="0032493D">
              <w:rPr>
                <w:rFonts w:ascii="Times New Roman" w:hAnsi="Times New Roman" w:cs="Times New Roman"/>
                <w:color w:val="000000"/>
                <w:sz w:val="24"/>
                <w:szCs w:val="24"/>
              </w:rPr>
              <w:t>23</w:t>
            </w:r>
            <w:r w:rsidRPr="00E066A1">
              <w:rPr>
                <w:rFonts w:ascii="Times New Roman" w:hAnsi="Times New Roman" w:cs="Times New Roman"/>
                <w:color w:val="000000"/>
                <w:sz w:val="24"/>
                <w:szCs w:val="24"/>
              </w:rPr>
              <w:t xml:space="preserve"> r.</w:t>
            </w:r>
          </w:p>
        </w:tc>
        <w:tc>
          <w:tcPr>
            <w:tcW w:w="6562" w:type="dxa"/>
            <w:tcBorders>
              <w:top w:val="single" w:sz="4" w:space="0" w:color="auto"/>
              <w:left w:val="single" w:sz="4" w:space="0" w:color="auto"/>
              <w:right w:val="single" w:sz="4" w:space="0" w:color="auto"/>
            </w:tcBorders>
            <w:shd w:val="clear" w:color="auto" w:fill="FFFFFF"/>
          </w:tcPr>
          <w:p w14:paraId="337B56F2" w14:textId="6D5308C2" w:rsidR="00C95517" w:rsidRPr="00E066A1" w:rsidRDefault="00D407BD" w:rsidP="00E066A1">
            <w:pPr>
              <w:spacing w:line="276" w:lineRule="auto"/>
              <w:jc w:val="both"/>
              <w:rPr>
                <w:rFonts w:ascii="Times New Roman" w:hAnsi="Times New Roman" w:cs="Times New Roman"/>
              </w:rPr>
            </w:pPr>
            <w:r>
              <w:rPr>
                <w:rFonts w:ascii="Times New Roman" w:hAnsi="Times New Roman" w:cs="Times New Roman"/>
              </w:rPr>
              <w:t>186 910,89</w:t>
            </w:r>
            <w:r w:rsidR="00350768">
              <w:rPr>
                <w:rFonts w:ascii="Times New Roman" w:hAnsi="Times New Roman" w:cs="Times New Roman"/>
              </w:rPr>
              <w:t xml:space="preserve"> zł </w:t>
            </w:r>
          </w:p>
        </w:tc>
      </w:tr>
      <w:tr w:rsidR="00C95517" w:rsidRPr="00E066A1" w14:paraId="26E27557" w14:textId="77777777" w:rsidTr="00C57D38">
        <w:trPr>
          <w:trHeight w:hRule="exact" w:val="456"/>
          <w:jc w:val="center"/>
        </w:trPr>
        <w:tc>
          <w:tcPr>
            <w:tcW w:w="2515" w:type="dxa"/>
            <w:tcBorders>
              <w:top w:val="single" w:sz="4" w:space="0" w:color="auto"/>
              <w:left w:val="single" w:sz="4" w:space="0" w:color="auto"/>
            </w:tcBorders>
            <w:shd w:val="clear" w:color="auto" w:fill="FFFFFF"/>
            <w:vAlign w:val="center"/>
          </w:tcPr>
          <w:p w14:paraId="6B058863" w14:textId="69B829FB" w:rsidR="00C95517" w:rsidRPr="00E066A1" w:rsidRDefault="00C95517"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color w:val="000000"/>
                <w:sz w:val="24"/>
                <w:szCs w:val="24"/>
              </w:rPr>
              <w:t>20</w:t>
            </w:r>
            <w:r w:rsidR="0032493D">
              <w:rPr>
                <w:rFonts w:ascii="Times New Roman" w:hAnsi="Times New Roman" w:cs="Times New Roman"/>
                <w:color w:val="000000"/>
                <w:sz w:val="24"/>
                <w:szCs w:val="24"/>
              </w:rPr>
              <w:t>24</w:t>
            </w:r>
            <w:r w:rsidRPr="00E066A1">
              <w:rPr>
                <w:rFonts w:ascii="Times New Roman" w:hAnsi="Times New Roman" w:cs="Times New Roman"/>
                <w:color w:val="000000"/>
                <w:sz w:val="24"/>
                <w:szCs w:val="24"/>
              </w:rPr>
              <w:t xml:space="preserve"> r.</w:t>
            </w:r>
          </w:p>
        </w:tc>
        <w:tc>
          <w:tcPr>
            <w:tcW w:w="6562" w:type="dxa"/>
            <w:tcBorders>
              <w:top w:val="single" w:sz="4" w:space="0" w:color="auto"/>
              <w:left w:val="single" w:sz="4" w:space="0" w:color="auto"/>
              <w:right w:val="single" w:sz="4" w:space="0" w:color="auto"/>
            </w:tcBorders>
            <w:shd w:val="clear" w:color="auto" w:fill="FFFFFF"/>
          </w:tcPr>
          <w:p w14:paraId="4E4E24B1" w14:textId="10E18636" w:rsidR="00C95517" w:rsidRPr="00E066A1" w:rsidRDefault="00D407BD" w:rsidP="00E066A1">
            <w:pPr>
              <w:spacing w:line="276" w:lineRule="auto"/>
              <w:jc w:val="both"/>
              <w:rPr>
                <w:rFonts w:ascii="Times New Roman" w:hAnsi="Times New Roman" w:cs="Times New Roman"/>
              </w:rPr>
            </w:pPr>
            <w:r>
              <w:rPr>
                <w:rFonts w:ascii="Times New Roman" w:hAnsi="Times New Roman" w:cs="Times New Roman"/>
              </w:rPr>
              <w:t>186 910,89 zł</w:t>
            </w:r>
          </w:p>
        </w:tc>
      </w:tr>
      <w:tr w:rsidR="0032493D" w:rsidRPr="00E066A1" w14:paraId="6D623393" w14:textId="77777777" w:rsidTr="00C57D38">
        <w:trPr>
          <w:trHeight w:hRule="exact" w:val="466"/>
          <w:jc w:val="center"/>
        </w:trPr>
        <w:tc>
          <w:tcPr>
            <w:tcW w:w="2515" w:type="dxa"/>
            <w:tcBorders>
              <w:top w:val="single" w:sz="4" w:space="0" w:color="auto"/>
              <w:left w:val="single" w:sz="4" w:space="0" w:color="auto"/>
              <w:bottom w:val="single" w:sz="4" w:space="0" w:color="auto"/>
            </w:tcBorders>
            <w:shd w:val="clear" w:color="auto" w:fill="FFFFFF"/>
            <w:vAlign w:val="center"/>
          </w:tcPr>
          <w:p w14:paraId="4869DD4B" w14:textId="1A924181" w:rsidR="0032493D" w:rsidRPr="00E066A1" w:rsidRDefault="0032493D" w:rsidP="00E066A1">
            <w:pPr>
              <w:pStyle w:val="Inne0"/>
              <w:spacing w:after="0" w:line="276" w:lineRule="auto"/>
              <w:jc w:val="both"/>
              <w:rPr>
                <w:rFonts w:ascii="Times New Roman" w:hAnsi="Times New Roman" w:cs="Times New Roman"/>
                <w:b/>
                <w:bCs/>
                <w:color w:val="000000"/>
                <w:sz w:val="24"/>
                <w:szCs w:val="24"/>
              </w:rPr>
            </w:pPr>
            <w:r w:rsidRPr="00E066A1">
              <w:rPr>
                <w:rFonts w:ascii="Times New Roman" w:hAnsi="Times New Roman" w:cs="Times New Roman"/>
                <w:color w:val="000000"/>
                <w:sz w:val="24"/>
                <w:szCs w:val="24"/>
              </w:rPr>
              <w:t>20</w:t>
            </w:r>
            <w:r>
              <w:rPr>
                <w:rFonts w:ascii="Times New Roman" w:hAnsi="Times New Roman" w:cs="Times New Roman"/>
                <w:color w:val="000000"/>
                <w:sz w:val="24"/>
                <w:szCs w:val="24"/>
              </w:rPr>
              <w:t>25</w:t>
            </w:r>
            <w:r w:rsidRPr="00E066A1">
              <w:rPr>
                <w:rFonts w:ascii="Times New Roman" w:hAnsi="Times New Roman" w:cs="Times New Roman"/>
                <w:color w:val="000000"/>
                <w:sz w:val="24"/>
                <w:szCs w:val="24"/>
              </w:rPr>
              <w:t xml:space="preserve"> r.</w:t>
            </w:r>
          </w:p>
        </w:tc>
        <w:tc>
          <w:tcPr>
            <w:tcW w:w="6562" w:type="dxa"/>
            <w:tcBorders>
              <w:top w:val="single" w:sz="4" w:space="0" w:color="auto"/>
              <w:left w:val="single" w:sz="4" w:space="0" w:color="auto"/>
              <w:bottom w:val="single" w:sz="4" w:space="0" w:color="auto"/>
              <w:right w:val="single" w:sz="4" w:space="0" w:color="auto"/>
            </w:tcBorders>
            <w:shd w:val="clear" w:color="auto" w:fill="FFFFFF"/>
          </w:tcPr>
          <w:p w14:paraId="205B65EF" w14:textId="6FF549AD" w:rsidR="0032493D" w:rsidRPr="00E066A1" w:rsidRDefault="00D407BD" w:rsidP="00E066A1">
            <w:pPr>
              <w:spacing w:line="276" w:lineRule="auto"/>
              <w:jc w:val="both"/>
              <w:rPr>
                <w:rFonts w:ascii="Times New Roman" w:hAnsi="Times New Roman" w:cs="Times New Roman"/>
              </w:rPr>
            </w:pPr>
            <w:r>
              <w:rPr>
                <w:rFonts w:ascii="Times New Roman" w:hAnsi="Times New Roman" w:cs="Times New Roman"/>
              </w:rPr>
              <w:t>186 910,87 zł</w:t>
            </w:r>
          </w:p>
        </w:tc>
      </w:tr>
      <w:tr w:rsidR="00C95517" w:rsidRPr="00E066A1" w14:paraId="21C6A38D" w14:textId="77777777" w:rsidTr="00C57D38">
        <w:trPr>
          <w:trHeight w:hRule="exact" w:val="466"/>
          <w:jc w:val="center"/>
        </w:trPr>
        <w:tc>
          <w:tcPr>
            <w:tcW w:w="2515" w:type="dxa"/>
            <w:tcBorders>
              <w:top w:val="single" w:sz="4" w:space="0" w:color="auto"/>
              <w:left w:val="single" w:sz="4" w:space="0" w:color="auto"/>
              <w:bottom w:val="single" w:sz="4" w:space="0" w:color="auto"/>
            </w:tcBorders>
            <w:shd w:val="clear" w:color="auto" w:fill="FFFFFF"/>
            <w:vAlign w:val="center"/>
          </w:tcPr>
          <w:p w14:paraId="58BC58AE" w14:textId="77777777" w:rsidR="00C95517" w:rsidRPr="00E066A1" w:rsidRDefault="00C95517" w:rsidP="00E066A1">
            <w:pPr>
              <w:pStyle w:val="Inne0"/>
              <w:spacing w:after="0" w:line="276" w:lineRule="auto"/>
              <w:jc w:val="both"/>
              <w:rPr>
                <w:rFonts w:ascii="Times New Roman" w:hAnsi="Times New Roman" w:cs="Times New Roman"/>
                <w:sz w:val="24"/>
                <w:szCs w:val="24"/>
              </w:rPr>
            </w:pPr>
            <w:r w:rsidRPr="00E066A1">
              <w:rPr>
                <w:rFonts w:ascii="Times New Roman" w:hAnsi="Times New Roman" w:cs="Times New Roman"/>
                <w:b/>
                <w:bCs/>
                <w:color w:val="000000"/>
                <w:sz w:val="24"/>
                <w:szCs w:val="24"/>
              </w:rPr>
              <w:t>Koszt całkowity</w:t>
            </w:r>
          </w:p>
        </w:tc>
        <w:tc>
          <w:tcPr>
            <w:tcW w:w="6562" w:type="dxa"/>
            <w:tcBorders>
              <w:top w:val="single" w:sz="4" w:space="0" w:color="auto"/>
              <w:left w:val="single" w:sz="4" w:space="0" w:color="auto"/>
              <w:bottom w:val="single" w:sz="4" w:space="0" w:color="auto"/>
              <w:right w:val="single" w:sz="4" w:space="0" w:color="auto"/>
            </w:tcBorders>
            <w:shd w:val="clear" w:color="auto" w:fill="FFFFFF"/>
          </w:tcPr>
          <w:p w14:paraId="4CA2EF64" w14:textId="47EF0C14" w:rsidR="00C95517" w:rsidRPr="00E066A1" w:rsidRDefault="00350768" w:rsidP="00E066A1">
            <w:pPr>
              <w:spacing w:line="276" w:lineRule="auto"/>
              <w:jc w:val="both"/>
              <w:rPr>
                <w:rFonts w:ascii="Times New Roman" w:hAnsi="Times New Roman" w:cs="Times New Roman"/>
              </w:rPr>
            </w:pPr>
            <w:r>
              <w:rPr>
                <w:rFonts w:ascii="Times New Roman" w:hAnsi="Times New Roman" w:cs="Times New Roman"/>
              </w:rPr>
              <w:t xml:space="preserve"> </w:t>
            </w:r>
            <w:r w:rsidR="00D407BD">
              <w:rPr>
                <w:rFonts w:ascii="Times New Roman" w:hAnsi="Times New Roman" w:cs="Times New Roman"/>
              </w:rPr>
              <w:t xml:space="preserve">560 732,65 </w:t>
            </w:r>
            <w:r>
              <w:rPr>
                <w:rFonts w:ascii="Times New Roman" w:hAnsi="Times New Roman" w:cs="Times New Roman"/>
              </w:rPr>
              <w:t xml:space="preserve">zł </w:t>
            </w:r>
          </w:p>
        </w:tc>
      </w:tr>
    </w:tbl>
    <w:p w14:paraId="5C7D11FE" w14:textId="02570278" w:rsidR="00C95517" w:rsidRDefault="00C95517">
      <w:pPr>
        <w:pStyle w:val="Nagwek30"/>
        <w:keepNext/>
        <w:keepLines/>
        <w:numPr>
          <w:ilvl w:val="0"/>
          <w:numId w:val="23"/>
        </w:numPr>
        <w:shd w:val="clear" w:color="auto" w:fill="auto"/>
        <w:spacing w:after="480" w:line="276" w:lineRule="auto"/>
        <w:jc w:val="both"/>
        <w:rPr>
          <w:sz w:val="24"/>
          <w:szCs w:val="24"/>
        </w:rPr>
      </w:pPr>
      <w:bookmarkStart w:id="76" w:name="bookmark259"/>
      <w:bookmarkStart w:id="77" w:name="bookmark257"/>
      <w:bookmarkStart w:id="78" w:name="bookmark258"/>
      <w:bookmarkStart w:id="79" w:name="bookmark260"/>
      <w:bookmarkEnd w:id="76"/>
      <w:r w:rsidRPr="00E066A1">
        <w:rPr>
          <w:sz w:val="24"/>
          <w:szCs w:val="24"/>
        </w:rPr>
        <w:t>Źródła finansowania</w:t>
      </w:r>
      <w:bookmarkEnd w:id="77"/>
      <w:bookmarkEnd w:id="78"/>
      <w:bookmarkEnd w:id="79"/>
    </w:p>
    <w:p w14:paraId="5F065C08" w14:textId="429BD67D" w:rsidR="00350768" w:rsidRDefault="00015615" w:rsidP="00350768">
      <w:pPr>
        <w:pStyle w:val="Nagwek30"/>
        <w:keepNext/>
        <w:keepLines/>
        <w:shd w:val="clear" w:color="auto" w:fill="auto"/>
        <w:spacing w:after="480" w:line="276" w:lineRule="auto"/>
        <w:ind w:left="383"/>
        <w:jc w:val="both"/>
        <w:rPr>
          <w:sz w:val="24"/>
          <w:szCs w:val="24"/>
        </w:rPr>
      </w:pPr>
      <w:r>
        <w:rPr>
          <w:sz w:val="24"/>
          <w:szCs w:val="24"/>
        </w:rPr>
        <w:t xml:space="preserve">80 % środków przewidzianych </w:t>
      </w:r>
      <w:r w:rsidR="002A5BCA">
        <w:rPr>
          <w:sz w:val="24"/>
          <w:szCs w:val="24"/>
        </w:rPr>
        <w:t>na</w:t>
      </w:r>
      <w:r>
        <w:rPr>
          <w:sz w:val="24"/>
          <w:szCs w:val="24"/>
        </w:rPr>
        <w:t xml:space="preserve"> realizację programu określonych we wn</w:t>
      </w:r>
      <w:r w:rsidR="002A5BCA">
        <w:rPr>
          <w:sz w:val="24"/>
          <w:szCs w:val="24"/>
        </w:rPr>
        <w:t xml:space="preserve">iosku będzie pochodzić z </w:t>
      </w:r>
      <w:r>
        <w:rPr>
          <w:sz w:val="24"/>
          <w:szCs w:val="24"/>
        </w:rPr>
        <w:t xml:space="preserve"> </w:t>
      </w:r>
      <w:r w:rsidR="00350768">
        <w:rPr>
          <w:sz w:val="24"/>
          <w:szCs w:val="24"/>
        </w:rPr>
        <w:t>Minister</w:t>
      </w:r>
      <w:r w:rsidR="002A5BCA">
        <w:rPr>
          <w:sz w:val="24"/>
          <w:szCs w:val="24"/>
        </w:rPr>
        <w:t>stwa</w:t>
      </w:r>
      <w:r w:rsidR="00350768">
        <w:rPr>
          <w:sz w:val="24"/>
          <w:szCs w:val="24"/>
        </w:rPr>
        <w:t xml:space="preserve"> Zdrowia z siedzibą w Warszawie, ul. Miodowa 15, 00-952 Warszawa w ramach </w:t>
      </w:r>
      <w:r>
        <w:rPr>
          <w:sz w:val="24"/>
          <w:szCs w:val="24"/>
        </w:rPr>
        <w:t xml:space="preserve">Subfunduszu rozwoju profilaktyki, wyodrębnionego w ramach </w:t>
      </w:r>
      <w:r w:rsidR="00350768">
        <w:rPr>
          <w:sz w:val="24"/>
          <w:szCs w:val="24"/>
        </w:rPr>
        <w:t xml:space="preserve">konkursu FM – SRP.01.2022 na dofinansowanie programów polityki zdrowotnej realizowanych przez gminy w obszarze edukacji w zakresie osteoporozy i wczesnego wykrywania osteoporozy w ramach </w:t>
      </w:r>
      <w:r>
        <w:rPr>
          <w:sz w:val="24"/>
          <w:szCs w:val="24"/>
        </w:rPr>
        <w:t xml:space="preserve">Subfunduszu rozwoju profilaktyki, wyodrębnionego w ramach Funduszu Medycznego, o którym mowa w ustawie z dnia 7 października 2020 r. o Funduszu Medycznym (Dz. U. poz. 1875). </w:t>
      </w:r>
    </w:p>
    <w:p w14:paraId="5E455F4F" w14:textId="5C361FC7" w:rsidR="002A5BCA" w:rsidRPr="00E066A1" w:rsidRDefault="00015615" w:rsidP="002A5BCA">
      <w:pPr>
        <w:pStyle w:val="Nagwek30"/>
        <w:keepNext/>
        <w:keepLines/>
        <w:shd w:val="clear" w:color="auto" w:fill="auto"/>
        <w:spacing w:after="480" w:line="276" w:lineRule="auto"/>
        <w:ind w:left="383"/>
        <w:jc w:val="both"/>
        <w:rPr>
          <w:sz w:val="24"/>
          <w:szCs w:val="24"/>
        </w:rPr>
      </w:pPr>
      <w:r>
        <w:rPr>
          <w:sz w:val="24"/>
          <w:szCs w:val="24"/>
        </w:rPr>
        <w:t>20% środków przewidzianych</w:t>
      </w:r>
      <w:r w:rsidR="002A5BCA">
        <w:rPr>
          <w:sz w:val="24"/>
          <w:szCs w:val="24"/>
        </w:rPr>
        <w:t xml:space="preserve"> na</w:t>
      </w:r>
      <w:r>
        <w:rPr>
          <w:sz w:val="24"/>
          <w:szCs w:val="24"/>
        </w:rPr>
        <w:t xml:space="preserve"> realizację programu określon</w:t>
      </w:r>
      <w:r w:rsidR="002A5BCA">
        <w:rPr>
          <w:sz w:val="24"/>
          <w:szCs w:val="24"/>
        </w:rPr>
        <w:t>ego</w:t>
      </w:r>
      <w:r>
        <w:rPr>
          <w:sz w:val="24"/>
          <w:szCs w:val="24"/>
        </w:rPr>
        <w:t xml:space="preserve"> we wniosku</w:t>
      </w:r>
      <w:r w:rsidR="002A5BCA">
        <w:rPr>
          <w:sz w:val="24"/>
          <w:szCs w:val="24"/>
        </w:rPr>
        <w:t xml:space="preserve"> zabezpiecza </w:t>
      </w:r>
      <w:r>
        <w:rPr>
          <w:sz w:val="24"/>
          <w:szCs w:val="24"/>
        </w:rPr>
        <w:t>Wnioskodawca.</w:t>
      </w:r>
    </w:p>
    <w:p w14:paraId="48A80001" w14:textId="77777777" w:rsidR="00E61ADA" w:rsidRPr="00E066A1" w:rsidRDefault="00545639">
      <w:pPr>
        <w:pStyle w:val="Teksttreci20"/>
        <w:numPr>
          <w:ilvl w:val="0"/>
          <w:numId w:val="9"/>
        </w:numPr>
        <w:shd w:val="clear" w:color="auto" w:fill="auto"/>
        <w:spacing w:line="276" w:lineRule="auto"/>
        <w:rPr>
          <w:b/>
          <w:sz w:val="24"/>
          <w:szCs w:val="24"/>
        </w:rPr>
      </w:pPr>
      <w:r w:rsidRPr="00E066A1">
        <w:rPr>
          <w:b/>
          <w:sz w:val="24"/>
          <w:szCs w:val="24"/>
        </w:rPr>
        <w:t>Bibliografia</w:t>
      </w:r>
    </w:p>
    <w:p w14:paraId="1152197F" w14:textId="59D0C58E" w:rsidR="008F11BC" w:rsidRDefault="008F11BC" w:rsidP="00EA6354">
      <w:pPr>
        <w:pStyle w:val="Teksttreci20"/>
        <w:tabs>
          <w:tab w:val="left" w:pos="1545"/>
        </w:tabs>
        <w:spacing w:line="276" w:lineRule="auto"/>
        <w:ind w:firstLine="0"/>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69"/>
        <w:gridCol w:w="7608"/>
      </w:tblGrid>
      <w:tr w:rsidR="00EA6354" w14:paraId="2F973E31" w14:textId="77777777" w:rsidTr="00EA6354">
        <w:trPr>
          <w:trHeight w:hRule="exact" w:val="1186"/>
          <w:jc w:val="center"/>
        </w:trPr>
        <w:tc>
          <w:tcPr>
            <w:tcW w:w="1469" w:type="dxa"/>
            <w:tcBorders>
              <w:top w:val="single" w:sz="4" w:space="0" w:color="auto"/>
              <w:left w:val="single" w:sz="4" w:space="0" w:color="auto"/>
            </w:tcBorders>
            <w:shd w:val="clear" w:color="auto" w:fill="FFFFFF"/>
            <w:vAlign w:val="center"/>
          </w:tcPr>
          <w:p w14:paraId="54C4FC68" w14:textId="514E1ED5" w:rsidR="00EA6354" w:rsidRPr="00EA6354" w:rsidRDefault="00EA6354" w:rsidP="008A3F1C">
            <w:pPr>
              <w:pStyle w:val="Inne0"/>
              <w:spacing w:after="0"/>
              <w:rPr>
                <w:b/>
                <w:bCs/>
                <w:color w:val="000000"/>
                <w:sz w:val="16"/>
                <w:szCs w:val="16"/>
              </w:rPr>
            </w:pPr>
            <w:r w:rsidRPr="00EA6354">
              <w:rPr>
                <w:b/>
                <w:bCs/>
                <w:color w:val="000000"/>
                <w:sz w:val="16"/>
                <w:szCs w:val="16"/>
              </w:rPr>
              <w:t xml:space="preserve">REKOMENDACJE </w:t>
            </w:r>
          </w:p>
        </w:tc>
        <w:tc>
          <w:tcPr>
            <w:tcW w:w="7608" w:type="dxa"/>
            <w:tcBorders>
              <w:top w:val="single" w:sz="4" w:space="0" w:color="auto"/>
              <w:left w:val="single" w:sz="4" w:space="0" w:color="auto"/>
              <w:right w:val="single" w:sz="4" w:space="0" w:color="auto"/>
            </w:tcBorders>
            <w:shd w:val="clear" w:color="auto" w:fill="FFFFFF"/>
            <w:vAlign w:val="center"/>
          </w:tcPr>
          <w:p w14:paraId="36784095" w14:textId="77777777" w:rsidR="00EA6354" w:rsidRPr="00EA6354" w:rsidRDefault="00EA6354" w:rsidP="00EA6354">
            <w:pPr>
              <w:pStyle w:val="Teksttreci20"/>
              <w:tabs>
                <w:tab w:val="left" w:pos="1545"/>
              </w:tabs>
              <w:spacing w:line="276" w:lineRule="auto"/>
              <w:ind w:firstLine="0"/>
              <w:rPr>
                <w:sz w:val="20"/>
                <w:szCs w:val="20"/>
              </w:rPr>
            </w:pPr>
            <w:r w:rsidRPr="00EA6354">
              <w:rPr>
                <w:sz w:val="20"/>
                <w:szCs w:val="20"/>
              </w:rPr>
              <w:t>Rekomendacja nr 9/2020 z dnia 30 listopada 2020 Prezesa Agencji Oceny Technologii Medycznych i Taryfikacji w sprawie zalecanych technologii medycznych, działań przeprowadzanych w ramach programów polityki zdrowotnej oraz warunków realizacji tych programów, dotyczących wykrywania osteoporozy.</w:t>
            </w:r>
          </w:p>
          <w:p w14:paraId="24140883" w14:textId="77777777" w:rsidR="00EA6354" w:rsidRDefault="00EA6354" w:rsidP="008A3F1C">
            <w:pPr>
              <w:pStyle w:val="Inne0"/>
              <w:spacing w:after="0"/>
              <w:jc w:val="both"/>
              <w:rPr>
                <w:color w:val="000000"/>
                <w:sz w:val="18"/>
                <w:szCs w:val="18"/>
              </w:rPr>
            </w:pPr>
          </w:p>
        </w:tc>
      </w:tr>
      <w:tr w:rsidR="00EA6354" w14:paraId="0E291903" w14:textId="77777777" w:rsidTr="008A3F1C">
        <w:trPr>
          <w:trHeight w:hRule="exact" w:val="902"/>
          <w:jc w:val="center"/>
        </w:trPr>
        <w:tc>
          <w:tcPr>
            <w:tcW w:w="1469" w:type="dxa"/>
            <w:tcBorders>
              <w:top w:val="single" w:sz="4" w:space="0" w:color="auto"/>
              <w:left w:val="single" w:sz="4" w:space="0" w:color="auto"/>
            </w:tcBorders>
            <w:shd w:val="clear" w:color="auto" w:fill="FFFFFF"/>
            <w:vAlign w:val="center"/>
          </w:tcPr>
          <w:p w14:paraId="5451F71F" w14:textId="77777777" w:rsidR="00EA6354" w:rsidRDefault="00EA6354" w:rsidP="008A3F1C">
            <w:pPr>
              <w:pStyle w:val="Inne0"/>
              <w:spacing w:after="0"/>
              <w:rPr>
                <w:sz w:val="18"/>
                <w:szCs w:val="18"/>
              </w:rPr>
            </w:pPr>
            <w:r>
              <w:rPr>
                <w:b/>
                <w:bCs/>
                <w:color w:val="000000"/>
                <w:sz w:val="18"/>
                <w:szCs w:val="18"/>
              </w:rPr>
              <w:lastRenderedPageBreak/>
              <w:t>Opinia RP</w:t>
            </w:r>
          </w:p>
        </w:tc>
        <w:tc>
          <w:tcPr>
            <w:tcW w:w="7608" w:type="dxa"/>
            <w:tcBorders>
              <w:top w:val="single" w:sz="4" w:space="0" w:color="auto"/>
              <w:left w:val="single" w:sz="4" w:space="0" w:color="auto"/>
              <w:right w:val="single" w:sz="4" w:space="0" w:color="auto"/>
            </w:tcBorders>
            <w:shd w:val="clear" w:color="auto" w:fill="FFFFFF"/>
            <w:vAlign w:val="center"/>
          </w:tcPr>
          <w:p w14:paraId="678255F9" w14:textId="77777777" w:rsidR="00EA6354" w:rsidRDefault="00EA6354" w:rsidP="008A3F1C">
            <w:pPr>
              <w:pStyle w:val="Inne0"/>
              <w:spacing w:after="0"/>
              <w:jc w:val="both"/>
              <w:rPr>
                <w:sz w:val="18"/>
                <w:szCs w:val="18"/>
              </w:rPr>
            </w:pPr>
            <w:r>
              <w:rPr>
                <w:color w:val="000000"/>
                <w:sz w:val="18"/>
                <w:szCs w:val="18"/>
              </w:rPr>
              <w:t>Opinia Rady Przejrzystości 294/2019 z dnia 9 września 2019 roku w sprawie zalecanych technologii medycznych, działań przeprowadzanych w ramach programów polityki zdrowotnej oraz warunków ich realizacji dla problemu zdrowotnego: profilaktyka i wczesne wykrywanie osteoporozy pierwotnej</w:t>
            </w:r>
          </w:p>
        </w:tc>
      </w:tr>
      <w:tr w:rsidR="00EA6354" w14:paraId="68FF2930" w14:textId="77777777" w:rsidTr="008A3F1C">
        <w:trPr>
          <w:trHeight w:hRule="exact" w:val="480"/>
          <w:jc w:val="center"/>
        </w:trPr>
        <w:tc>
          <w:tcPr>
            <w:tcW w:w="1469" w:type="dxa"/>
            <w:tcBorders>
              <w:top w:val="single" w:sz="4" w:space="0" w:color="auto"/>
              <w:left w:val="single" w:sz="4" w:space="0" w:color="auto"/>
            </w:tcBorders>
            <w:shd w:val="clear" w:color="auto" w:fill="FFFFFF"/>
            <w:vAlign w:val="center"/>
          </w:tcPr>
          <w:p w14:paraId="59B13C9D" w14:textId="77777777" w:rsidR="00EA6354" w:rsidRDefault="00EA6354" w:rsidP="008A3F1C">
            <w:pPr>
              <w:pStyle w:val="Inne0"/>
              <w:spacing w:after="0"/>
              <w:rPr>
                <w:sz w:val="18"/>
                <w:szCs w:val="18"/>
              </w:rPr>
            </w:pPr>
            <w:r>
              <w:rPr>
                <w:b/>
                <w:bCs/>
                <w:color w:val="000000"/>
                <w:sz w:val="18"/>
                <w:szCs w:val="18"/>
              </w:rPr>
              <w:t>Raport</w:t>
            </w:r>
          </w:p>
        </w:tc>
        <w:tc>
          <w:tcPr>
            <w:tcW w:w="7608" w:type="dxa"/>
            <w:tcBorders>
              <w:top w:val="single" w:sz="4" w:space="0" w:color="auto"/>
              <w:left w:val="single" w:sz="4" w:space="0" w:color="auto"/>
              <w:right w:val="single" w:sz="4" w:space="0" w:color="auto"/>
            </w:tcBorders>
            <w:shd w:val="clear" w:color="auto" w:fill="FFFFFF"/>
            <w:vAlign w:val="center"/>
          </w:tcPr>
          <w:p w14:paraId="7F6F3989" w14:textId="77777777" w:rsidR="00EA6354" w:rsidRDefault="00EA6354" w:rsidP="008A3F1C">
            <w:pPr>
              <w:pStyle w:val="Inne0"/>
              <w:spacing w:after="0"/>
              <w:jc w:val="both"/>
              <w:rPr>
                <w:sz w:val="18"/>
                <w:szCs w:val="18"/>
              </w:rPr>
            </w:pPr>
            <w:r>
              <w:rPr>
                <w:color w:val="000000"/>
                <w:sz w:val="18"/>
                <w:szCs w:val="18"/>
              </w:rPr>
              <w:t>Raport nr OT.423.1.2018 „Profilaktyka i wczesne wykrywanie osteoporozy pierwotnej w ramach programów polityki zdrowotnej”, Warszawa, październik 2018.</w:t>
            </w:r>
          </w:p>
        </w:tc>
      </w:tr>
      <w:tr w:rsidR="00EA6354" w14:paraId="3F9AA8D3" w14:textId="77777777" w:rsidTr="008A3F1C">
        <w:trPr>
          <w:trHeight w:hRule="exact" w:val="490"/>
          <w:jc w:val="center"/>
        </w:trPr>
        <w:tc>
          <w:tcPr>
            <w:tcW w:w="1469" w:type="dxa"/>
            <w:tcBorders>
              <w:top w:val="single" w:sz="4" w:space="0" w:color="auto"/>
              <w:left w:val="single" w:sz="4" w:space="0" w:color="auto"/>
            </w:tcBorders>
            <w:shd w:val="clear" w:color="auto" w:fill="FFFFFF"/>
            <w:vAlign w:val="center"/>
          </w:tcPr>
          <w:p w14:paraId="1FDC1059" w14:textId="77777777" w:rsidR="00EA6354" w:rsidRDefault="00EA6354" w:rsidP="008A3F1C">
            <w:pPr>
              <w:pStyle w:val="Inne0"/>
              <w:spacing w:after="0"/>
              <w:rPr>
                <w:sz w:val="18"/>
                <w:szCs w:val="18"/>
              </w:rPr>
            </w:pPr>
            <w:r>
              <w:rPr>
                <w:b/>
                <w:bCs/>
                <w:color w:val="000000"/>
                <w:sz w:val="18"/>
                <w:szCs w:val="18"/>
              </w:rPr>
              <w:t>Avenell 2014</w:t>
            </w:r>
          </w:p>
        </w:tc>
        <w:tc>
          <w:tcPr>
            <w:tcW w:w="7608" w:type="dxa"/>
            <w:tcBorders>
              <w:top w:val="single" w:sz="4" w:space="0" w:color="auto"/>
              <w:left w:val="single" w:sz="4" w:space="0" w:color="auto"/>
              <w:right w:val="single" w:sz="4" w:space="0" w:color="auto"/>
            </w:tcBorders>
            <w:shd w:val="clear" w:color="auto" w:fill="FFFFFF"/>
            <w:vAlign w:val="center"/>
          </w:tcPr>
          <w:p w14:paraId="586BEE1D" w14:textId="77777777" w:rsidR="00EA6354" w:rsidRDefault="00EA6354" w:rsidP="008A3F1C">
            <w:pPr>
              <w:pStyle w:val="Inne0"/>
              <w:spacing w:after="0"/>
              <w:jc w:val="both"/>
              <w:rPr>
                <w:sz w:val="18"/>
                <w:szCs w:val="18"/>
              </w:rPr>
            </w:pPr>
            <w:r w:rsidRPr="002201F6">
              <w:rPr>
                <w:color w:val="000000"/>
                <w:sz w:val="18"/>
                <w:szCs w:val="18"/>
                <w:lang w:val="en-US"/>
              </w:rPr>
              <w:t>Avenell, A., Mak, J., &amp; O'Connell, D. (2014). Vitamin D and vitamin D analogues for preventing fractures in post</w:t>
            </w:r>
            <w:r w:rsidRPr="002201F6">
              <w:rPr>
                <w:rFonts w:ascii="Times New Roman" w:eastAsia="Times New Roman" w:hAnsi="Times New Roman" w:cs="Times New Roman"/>
                <w:color w:val="000000"/>
                <w:sz w:val="18"/>
                <w:szCs w:val="18"/>
                <w:lang w:val="en-US"/>
              </w:rPr>
              <w:t>-</w:t>
            </w:r>
            <w:r w:rsidRPr="002201F6">
              <w:rPr>
                <w:color w:val="000000"/>
                <w:sz w:val="18"/>
                <w:szCs w:val="18"/>
                <w:lang w:val="en-US"/>
              </w:rPr>
              <w:t xml:space="preserve">menopausal women and older men. </w:t>
            </w:r>
            <w:r>
              <w:rPr>
                <w:color w:val="000000"/>
                <w:sz w:val="18"/>
                <w:szCs w:val="18"/>
              </w:rPr>
              <w:t>The Cochrane Library</w:t>
            </w:r>
          </w:p>
        </w:tc>
      </w:tr>
      <w:tr w:rsidR="00EA6354" w14:paraId="2B1B714A" w14:textId="77777777" w:rsidTr="008A3F1C">
        <w:trPr>
          <w:trHeight w:hRule="exact" w:val="691"/>
          <w:jc w:val="center"/>
        </w:trPr>
        <w:tc>
          <w:tcPr>
            <w:tcW w:w="1469" w:type="dxa"/>
            <w:tcBorders>
              <w:top w:val="single" w:sz="4" w:space="0" w:color="auto"/>
              <w:left w:val="single" w:sz="4" w:space="0" w:color="auto"/>
            </w:tcBorders>
            <w:shd w:val="clear" w:color="auto" w:fill="FFFFFF"/>
            <w:vAlign w:val="center"/>
          </w:tcPr>
          <w:p w14:paraId="2B4B7BC6" w14:textId="77777777" w:rsidR="00EA6354" w:rsidRDefault="00EA6354" w:rsidP="008A3F1C">
            <w:pPr>
              <w:pStyle w:val="Inne0"/>
              <w:spacing w:after="0"/>
              <w:rPr>
                <w:sz w:val="18"/>
                <w:szCs w:val="18"/>
              </w:rPr>
            </w:pPr>
            <w:r>
              <w:rPr>
                <w:b/>
                <w:bCs/>
                <w:color w:val="000000"/>
                <w:sz w:val="18"/>
                <w:szCs w:val="18"/>
              </w:rPr>
              <w:t>Bell 2014</w:t>
            </w:r>
          </w:p>
        </w:tc>
        <w:tc>
          <w:tcPr>
            <w:tcW w:w="7608" w:type="dxa"/>
            <w:tcBorders>
              <w:top w:val="single" w:sz="4" w:space="0" w:color="auto"/>
              <w:left w:val="single" w:sz="4" w:space="0" w:color="auto"/>
              <w:right w:val="single" w:sz="4" w:space="0" w:color="auto"/>
            </w:tcBorders>
            <w:shd w:val="clear" w:color="auto" w:fill="FFFFFF"/>
            <w:vAlign w:val="center"/>
          </w:tcPr>
          <w:p w14:paraId="09D81B99" w14:textId="77777777" w:rsidR="00EA6354" w:rsidRPr="002201F6" w:rsidRDefault="00EA6354" w:rsidP="008A3F1C">
            <w:pPr>
              <w:pStyle w:val="Inne0"/>
              <w:tabs>
                <w:tab w:val="left" w:pos="1795"/>
              </w:tabs>
              <w:spacing w:after="0"/>
              <w:jc w:val="both"/>
              <w:rPr>
                <w:sz w:val="18"/>
                <w:szCs w:val="18"/>
                <w:lang w:val="en-US"/>
              </w:rPr>
            </w:pPr>
            <w:r w:rsidRPr="002201F6">
              <w:rPr>
                <w:color w:val="000000"/>
                <w:sz w:val="18"/>
                <w:szCs w:val="18"/>
                <w:lang w:val="en-US"/>
              </w:rPr>
              <w:t>Bell, K., Strand, H.,</w:t>
            </w:r>
            <w:r w:rsidRPr="002201F6">
              <w:rPr>
                <w:color w:val="000000"/>
                <w:sz w:val="18"/>
                <w:szCs w:val="18"/>
                <w:lang w:val="en-US"/>
              </w:rPr>
              <w:tab/>
              <w:t>&amp; Inder, W. J. (2014). Effect of a dedicated osteoporosis health</w:t>
            </w:r>
          </w:p>
          <w:p w14:paraId="42A766B1" w14:textId="77777777" w:rsidR="00EA6354" w:rsidRDefault="00EA6354" w:rsidP="008A3F1C">
            <w:pPr>
              <w:pStyle w:val="Inne0"/>
              <w:spacing w:after="0"/>
              <w:jc w:val="both"/>
              <w:rPr>
                <w:sz w:val="18"/>
                <w:szCs w:val="18"/>
              </w:rPr>
            </w:pPr>
            <w:r w:rsidRPr="002201F6">
              <w:rPr>
                <w:color w:val="000000"/>
                <w:sz w:val="18"/>
                <w:szCs w:val="18"/>
                <w:lang w:val="en-US"/>
              </w:rPr>
              <w:t xml:space="preserve">professional on screening and treatment in outpatients presenting with acute low trauma non- hip fracture: a systematic review. </w:t>
            </w:r>
            <w:r>
              <w:rPr>
                <w:color w:val="000000"/>
                <w:sz w:val="18"/>
                <w:szCs w:val="18"/>
              </w:rPr>
              <w:t>Archives of osteoporosis, 9(1), 167</w:t>
            </w:r>
          </w:p>
        </w:tc>
      </w:tr>
      <w:tr w:rsidR="00EA6354" w14:paraId="1DF3AAD2" w14:textId="77777777" w:rsidTr="008A3F1C">
        <w:trPr>
          <w:trHeight w:hRule="exact" w:val="696"/>
          <w:jc w:val="center"/>
        </w:trPr>
        <w:tc>
          <w:tcPr>
            <w:tcW w:w="1469" w:type="dxa"/>
            <w:tcBorders>
              <w:top w:val="single" w:sz="4" w:space="0" w:color="auto"/>
              <w:left w:val="single" w:sz="4" w:space="0" w:color="auto"/>
            </w:tcBorders>
            <w:shd w:val="clear" w:color="auto" w:fill="FFFFFF"/>
            <w:vAlign w:val="center"/>
          </w:tcPr>
          <w:p w14:paraId="56D5E751" w14:textId="77777777" w:rsidR="00EA6354" w:rsidRDefault="00EA6354" w:rsidP="008A3F1C">
            <w:pPr>
              <w:pStyle w:val="Inne0"/>
              <w:spacing w:after="0" w:line="257" w:lineRule="auto"/>
              <w:rPr>
                <w:sz w:val="18"/>
                <w:szCs w:val="18"/>
              </w:rPr>
            </w:pPr>
            <w:r>
              <w:rPr>
                <w:b/>
                <w:bCs/>
                <w:color w:val="000000"/>
                <w:sz w:val="18"/>
                <w:szCs w:val="18"/>
              </w:rPr>
              <w:t>Calciolari 2015</w:t>
            </w:r>
          </w:p>
        </w:tc>
        <w:tc>
          <w:tcPr>
            <w:tcW w:w="7608" w:type="dxa"/>
            <w:tcBorders>
              <w:top w:val="single" w:sz="4" w:space="0" w:color="auto"/>
              <w:left w:val="single" w:sz="4" w:space="0" w:color="auto"/>
              <w:right w:val="single" w:sz="4" w:space="0" w:color="auto"/>
            </w:tcBorders>
            <w:shd w:val="clear" w:color="auto" w:fill="FFFFFF"/>
            <w:vAlign w:val="center"/>
          </w:tcPr>
          <w:p w14:paraId="6717FA8C" w14:textId="77777777" w:rsidR="00EA6354" w:rsidRDefault="00EA6354" w:rsidP="008A3F1C">
            <w:pPr>
              <w:pStyle w:val="Inne0"/>
              <w:spacing w:after="0"/>
              <w:jc w:val="both"/>
              <w:rPr>
                <w:sz w:val="18"/>
                <w:szCs w:val="18"/>
              </w:rPr>
            </w:pPr>
            <w:r w:rsidRPr="002201F6">
              <w:rPr>
                <w:color w:val="000000"/>
                <w:sz w:val="18"/>
                <w:szCs w:val="18"/>
                <w:lang w:val="en-US"/>
              </w:rPr>
              <w:t xml:space="preserve">Calciolari, E., Donos, N., Park, J. C., Petrie, A., &amp; Mardas, N. (2015). Panoramic measures for oral bone mass in detecting osteoporosis: a systematic review and meta-analysis. </w:t>
            </w:r>
            <w:r>
              <w:rPr>
                <w:color w:val="000000"/>
                <w:sz w:val="18"/>
                <w:szCs w:val="18"/>
              </w:rPr>
              <w:t>Journal of dental research, 94(3_suppl), 17S-27S</w:t>
            </w:r>
          </w:p>
        </w:tc>
      </w:tr>
      <w:tr w:rsidR="00EA6354" w14:paraId="45199040" w14:textId="77777777" w:rsidTr="008A3F1C">
        <w:trPr>
          <w:trHeight w:hRule="exact" w:val="485"/>
          <w:jc w:val="center"/>
        </w:trPr>
        <w:tc>
          <w:tcPr>
            <w:tcW w:w="1469" w:type="dxa"/>
            <w:tcBorders>
              <w:top w:val="single" w:sz="4" w:space="0" w:color="auto"/>
              <w:left w:val="single" w:sz="4" w:space="0" w:color="auto"/>
            </w:tcBorders>
            <w:shd w:val="clear" w:color="auto" w:fill="FFFFFF"/>
            <w:vAlign w:val="center"/>
          </w:tcPr>
          <w:p w14:paraId="27ED0B97" w14:textId="77777777" w:rsidR="00EA6354" w:rsidRDefault="00EA6354" w:rsidP="008A3F1C">
            <w:pPr>
              <w:pStyle w:val="Inne0"/>
              <w:spacing w:after="0"/>
              <w:rPr>
                <w:sz w:val="18"/>
                <w:szCs w:val="18"/>
              </w:rPr>
            </w:pPr>
            <w:r>
              <w:rPr>
                <w:b/>
                <w:bCs/>
                <w:color w:val="000000"/>
                <w:sz w:val="18"/>
                <w:szCs w:val="18"/>
              </w:rPr>
              <w:t>Crandall 2015</w:t>
            </w:r>
          </w:p>
        </w:tc>
        <w:tc>
          <w:tcPr>
            <w:tcW w:w="7608" w:type="dxa"/>
            <w:tcBorders>
              <w:top w:val="single" w:sz="4" w:space="0" w:color="auto"/>
              <w:left w:val="single" w:sz="4" w:space="0" w:color="auto"/>
              <w:right w:val="single" w:sz="4" w:space="0" w:color="auto"/>
            </w:tcBorders>
            <w:shd w:val="clear" w:color="auto" w:fill="FFFFFF"/>
            <w:vAlign w:val="center"/>
          </w:tcPr>
          <w:p w14:paraId="4BE25667" w14:textId="77777777" w:rsidR="00EA6354" w:rsidRDefault="00EA6354" w:rsidP="008A3F1C">
            <w:pPr>
              <w:pStyle w:val="Inne0"/>
              <w:spacing w:after="0"/>
              <w:jc w:val="both"/>
              <w:rPr>
                <w:sz w:val="18"/>
                <w:szCs w:val="18"/>
              </w:rPr>
            </w:pPr>
            <w:r w:rsidRPr="002201F6">
              <w:rPr>
                <w:color w:val="000000"/>
                <w:sz w:val="18"/>
                <w:szCs w:val="18"/>
                <w:lang w:val="en-US"/>
              </w:rPr>
              <w:t xml:space="preserve">Crandall, C. J. (2015). Risk assessment tools for osteoporosis screening in postmenopausal women: a systematic review. </w:t>
            </w:r>
            <w:r>
              <w:rPr>
                <w:color w:val="000000"/>
                <w:sz w:val="18"/>
                <w:szCs w:val="18"/>
              </w:rPr>
              <w:t>Current osteoporosis reports, 13(5), 287-301</w:t>
            </w:r>
          </w:p>
        </w:tc>
      </w:tr>
      <w:tr w:rsidR="00EA6354" w14:paraId="40840839" w14:textId="77777777" w:rsidTr="008A3F1C">
        <w:trPr>
          <w:trHeight w:hRule="exact" w:val="696"/>
          <w:jc w:val="center"/>
        </w:trPr>
        <w:tc>
          <w:tcPr>
            <w:tcW w:w="1469" w:type="dxa"/>
            <w:tcBorders>
              <w:top w:val="single" w:sz="4" w:space="0" w:color="auto"/>
              <w:left w:val="single" w:sz="4" w:space="0" w:color="auto"/>
            </w:tcBorders>
            <w:shd w:val="clear" w:color="auto" w:fill="FFFFFF"/>
            <w:vAlign w:val="center"/>
          </w:tcPr>
          <w:p w14:paraId="00BFB122" w14:textId="77777777" w:rsidR="00EA6354" w:rsidRDefault="00EA6354" w:rsidP="008A3F1C">
            <w:pPr>
              <w:pStyle w:val="Inne0"/>
              <w:spacing w:after="0" w:line="257" w:lineRule="auto"/>
              <w:rPr>
                <w:sz w:val="18"/>
                <w:szCs w:val="18"/>
              </w:rPr>
            </w:pPr>
            <w:r>
              <w:rPr>
                <w:b/>
                <w:bCs/>
                <w:color w:val="000000"/>
                <w:sz w:val="18"/>
                <w:szCs w:val="18"/>
              </w:rPr>
              <w:t>Guirguis- Blake 2018</w:t>
            </w:r>
          </w:p>
        </w:tc>
        <w:tc>
          <w:tcPr>
            <w:tcW w:w="7608" w:type="dxa"/>
            <w:tcBorders>
              <w:top w:val="single" w:sz="4" w:space="0" w:color="auto"/>
              <w:left w:val="single" w:sz="4" w:space="0" w:color="auto"/>
              <w:right w:val="single" w:sz="4" w:space="0" w:color="auto"/>
            </w:tcBorders>
            <w:shd w:val="clear" w:color="auto" w:fill="FFFFFF"/>
            <w:vAlign w:val="center"/>
          </w:tcPr>
          <w:p w14:paraId="54FB1C93" w14:textId="77777777" w:rsidR="00EA6354" w:rsidRDefault="00EA6354" w:rsidP="008A3F1C">
            <w:pPr>
              <w:pStyle w:val="Inne0"/>
              <w:spacing w:after="0"/>
              <w:jc w:val="both"/>
              <w:rPr>
                <w:sz w:val="18"/>
                <w:szCs w:val="18"/>
              </w:rPr>
            </w:pPr>
            <w:r w:rsidRPr="002201F6">
              <w:rPr>
                <w:color w:val="000000"/>
                <w:sz w:val="18"/>
                <w:szCs w:val="18"/>
                <w:lang w:val="en-US"/>
              </w:rPr>
              <w:t xml:space="preserve">Guirguis-Blake, J. M., Michael, Y. L., Perdue, L. A., Coppola, E. L., &amp; Beil, T. L. (2018). Interventions to prevent falls in older adults: updated evidence report and systematic review for the US Preventive Services Task Force. </w:t>
            </w:r>
            <w:r>
              <w:rPr>
                <w:color w:val="000000"/>
                <w:sz w:val="18"/>
                <w:szCs w:val="18"/>
              </w:rPr>
              <w:t>Jama, 319(16), 1705-1716</w:t>
            </w:r>
          </w:p>
        </w:tc>
      </w:tr>
      <w:tr w:rsidR="00EA6354" w14:paraId="20503980" w14:textId="77777777" w:rsidTr="008A3F1C">
        <w:trPr>
          <w:trHeight w:hRule="exact" w:val="485"/>
          <w:jc w:val="center"/>
        </w:trPr>
        <w:tc>
          <w:tcPr>
            <w:tcW w:w="1469" w:type="dxa"/>
            <w:tcBorders>
              <w:top w:val="single" w:sz="4" w:space="0" w:color="auto"/>
              <w:left w:val="single" w:sz="4" w:space="0" w:color="auto"/>
            </w:tcBorders>
            <w:shd w:val="clear" w:color="auto" w:fill="FFFFFF"/>
            <w:vAlign w:val="center"/>
          </w:tcPr>
          <w:p w14:paraId="243C4953" w14:textId="77777777" w:rsidR="00EA6354" w:rsidRDefault="00EA6354" w:rsidP="008A3F1C">
            <w:pPr>
              <w:pStyle w:val="Inne0"/>
              <w:spacing w:after="0"/>
              <w:rPr>
                <w:sz w:val="18"/>
                <w:szCs w:val="18"/>
              </w:rPr>
            </w:pPr>
            <w:r>
              <w:rPr>
                <w:b/>
                <w:bCs/>
                <w:color w:val="000000"/>
                <w:sz w:val="18"/>
                <w:szCs w:val="18"/>
              </w:rPr>
              <w:t>Hoiberg 2016</w:t>
            </w:r>
          </w:p>
        </w:tc>
        <w:tc>
          <w:tcPr>
            <w:tcW w:w="7608" w:type="dxa"/>
            <w:tcBorders>
              <w:top w:val="single" w:sz="4" w:space="0" w:color="auto"/>
              <w:left w:val="single" w:sz="4" w:space="0" w:color="auto"/>
              <w:right w:val="single" w:sz="4" w:space="0" w:color="auto"/>
            </w:tcBorders>
            <w:shd w:val="clear" w:color="auto" w:fill="FFFFFF"/>
            <w:vAlign w:val="center"/>
          </w:tcPr>
          <w:p w14:paraId="37D5CE18" w14:textId="77777777" w:rsidR="00EA6354" w:rsidRDefault="00EA6354" w:rsidP="008A3F1C">
            <w:pPr>
              <w:pStyle w:val="Inne0"/>
              <w:spacing w:after="0"/>
              <w:jc w:val="both"/>
              <w:rPr>
                <w:sz w:val="18"/>
                <w:szCs w:val="18"/>
              </w:rPr>
            </w:pPr>
            <w:r w:rsidRPr="002201F6">
              <w:rPr>
                <w:color w:val="000000"/>
                <w:sz w:val="18"/>
                <w:szCs w:val="18"/>
                <w:lang w:val="en-US"/>
              </w:rPr>
              <w:t xml:space="preserve">Hoiberg, M. P., Rubin, K. H., Hermann, A. P., Brixen, K., &amp; Abrahamsen, B. (2016). Diagnostic devices for osteoporosis in the general population: a systematic review. </w:t>
            </w:r>
            <w:r>
              <w:rPr>
                <w:color w:val="000000"/>
                <w:sz w:val="18"/>
                <w:szCs w:val="18"/>
              </w:rPr>
              <w:t>Bone, 92, 58-69</w:t>
            </w:r>
          </w:p>
        </w:tc>
      </w:tr>
      <w:tr w:rsidR="00EA6354" w14:paraId="1B6065A4" w14:textId="77777777" w:rsidTr="008A3F1C">
        <w:trPr>
          <w:trHeight w:hRule="exact" w:val="691"/>
          <w:jc w:val="center"/>
        </w:trPr>
        <w:tc>
          <w:tcPr>
            <w:tcW w:w="1469" w:type="dxa"/>
            <w:tcBorders>
              <w:top w:val="single" w:sz="4" w:space="0" w:color="auto"/>
              <w:left w:val="single" w:sz="4" w:space="0" w:color="auto"/>
            </w:tcBorders>
            <w:shd w:val="clear" w:color="auto" w:fill="FFFFFF"/>
            <w:vAlign w:val="center"/>
          </w:tcPr>
          <w:p w14:paraId="40BAA19E" w14:textId="77777777" w:rsidR="00EA6354" w:rsidRDefault="00EA6354" w:rsidP="008A3F1C">
            <w:pPr>
              <w:pStyle w:val="Inne0"/>
              <w:spacing w:after="0"/>
              <w:rPr>
                <w:sz w:val="18"/>
                <w:szCs w:val="18"/>
              </w:rPr>
            </w:pPr>
            <w:r>
              <w:rPr>
                <w:b/>
                <w:bCs/>
                <w:color w:val="000000"/>
                <w:sz w:val="18"/>
                <w:szCs w:val="18"/>
              </w:rPr>
              <w:t>Huang 2014</w:t>
            </w:r>
          </w:p>
        </w:tc>
        <w:tc>
          <w:tcPr>
            <w:tcW w:w="7608" w:type="dxa"/>
            <w:tcBorders>
              <w:top w:val="single" w:sz="4" w:space="0" w:color="auto"/>
              <w:left w:val="single" w:sz="4" w:space="0" w:color="auto"/>
              <w:right w:val="single" w:sz="4" w:space="0" w:color="auto"/>
            </w:tcBorders>
            <w:shd w:val="clear" w:color="auto" w:fill="FFFFFF"/>
            <w:vAlign w:val="center"/>
          </w:tcPr>
          <w:p w14:paraId="52D6F421" w14:textId="77777777" w:rsidR="00EA6354" w:rsidRDefault="00EA6354" w:rsidP="008A3F1C">
            <w:pPr>
              <w:pStyle w:val="Inne0"/>
              <w:spacing w:after="0"/>
              <w:jc w:val="both"/>
              <w:rPr>
                <w:sz w:val="18"/>
                <w:szCs w:val="18"/>
              </w:rPr>
            </w:pPr>
            <w:r w:rsidRPr="002201F6">
              <w:rPr>
                <w:color w:val="000000"/>
                <w:sz w:val="18"/>
                <w:szCs w:val="18"/>
                <w:lang w:val="en-US"/>
              </w:rPr>
              <w:t xml:space="preserve">Huang, Z. B., Wan, S. L., Lu, Y. J., Ning, L., Liu, C., &amp; Fan, S. W. (2014). Does vitamin K2 play a role in the prevention and treatment of osteoporosis for postmenopausal women: a meta-analysis of randomized controlled trials. </w:t>
            </w:r>
            <w:r>
              <w:rPr>
                <w:color w:val="000000"/>
                <w:sz w:val="18"/>
                <w:szCs w:val="18"/>
              </w:rPr>
              <w:t>Osteoporosis international, 26(3), 1175-1186</w:t>
            </w:r>
          </w:p>
        </w:tc>
      </w:tr>
      <w:tr w:rsidR="00EA6354" w14:paraId="119E6F2B" w14:textId="77777777" w:rsidTr="008A3F1C">
        <w:trPr>
          <w:trHeight w:hRule="exact" w:val="696"/>
          <w:jc w:val="center"/>
        </w:trPr>
        <w:tc>
          <w:tcPr>
            <w:tcW w:w="1469" w:type="dxa"/>
            <w:tcBorders>
              <w:top w:val="single" w:sz="4" w:space="0" w:color="auto"/>
              <w:left w:val="single" w:sz="4" w:space="0" w:color="auto"/>
            </w:tcBorders>
            <w:shd w:val="clear" w:color="auto" w:fill="FFFFFF"/>
            <w:vAlign w:val="center"/>
          </w:tcPr>
          <w:p w14:paraId="5C27FB46" w14:textId="77777777" w:rsidR="00EA6354" w:rsidRDefault="00EA6354" w:rsidP="008A3F1C">
            <w:pPr>
              <w:pStyle w:val="Inne0"/>
              <w:spacing w:after="0"/>
              <w:rPr>
                <w:sz w:val="18"/>
                <w:szCs w:val="18"/>
              </w:rPr>
            </w:pPr>
            <w:r>
              <w:rPr>
                <w:b/>
                <w:bCs/>
                <w:color w:val="000000"/>
                <w:sz w:val="18"/>
                <w:szCs w:val="18"/>
              </w:rPr>
              <w:t>Ito 2015</w:t>
            </w:r>
          </w:p>
        </w:tc>
        <w:tc>
          <w:tcPr>
            <w:tcW w:w="7608" w:type="dxa"/>
            <w:tcBorders>
              <w:top w:val="single" w:sz="4" w:space="0" w:color="auto"/>
              <w:left w:val="single" w:sz="4" w:space="0" w:color="auto"/>
              <w:right w:val="single" w:sz="4" w:space="0" w:color="auto"/>
            </w:tcBorders>
            <w:shd w:val="clear" w:color="auto" w:fill="FFFFFF"/>
            <w:vAlign w:val="center"/>
          </w:tcPr>
          <w:p w14:paraId="04DF9D33" w14:textId="77777777" w:rsidR="00EA6354" w:rsidRDefault="00EA6354" w:rsidP="008A3F1C">
            <w:pPr>
              <w:pStyle w:val="Inne0"/>
              <w:spacing w:after="0"/>
              <w:jc w:val="both"/>
              <w:rPr>
                <w:sz w:val="18"/>
                <w:szCs w:val="18"/>
              </w:rPr>
            </w:pPr>
            <w:r w:rsidRPr="002201F6">
              <w:rPr>
                <w:color w:val="000000"/>
                <w:sz w:val="18"/>
                <w:szCs w:val="18"/>
                <w:lang w:val="en-US"/>
              </w:rPr>
              <w:t xml:space="preserve">Ito, K., &amp; Leslie, W. D. (2015). Cost-effectiveness of fracture prevention in rural women with limited access to dual-energy X-ray absorptiometry. </w:t>
            </w:r>
            <w:r>
              <w:rPr>
                <w:color w:val="000000"/>
                <w:sz w:val="18"/>
                <w:szCs w:val="18"/>
              </w:rPr>
              <w:t>Osteoporosis International, 26(8), 2111</w:t>
            </w:r>
            <w:r>
              <w:rPr>
                <w:color w:val="000000"/>
                <w:sz w:val="18"/>
                <w:szCs w:val="18"/>
              </w:rPr>
              <w:softHyphen/>
              <w:t>2119</w:t>
            </w:r>
          </w:p>
        </w:tc>
      </w:tr>
      <w:tr w:rsidR="00EA6354" w14:paraId="5907E841" w14:textId="77777777" w:rsidTr="008A3F1C">
        <w:trPr>
          <w:trHeight w:hRule="exact" w:val="691"/>
          <w:jc w:val="center"/>
        </w:trPr>
        <w:tc>
          <w:tcPr>
            <w:tcW w:w="1469" w:type="dxa"/>
            <w:tcBorders>
              <w:top w:val="single" w:sz="4" w:space="0" w:color="auto"/>
              <w:left w:val="single" w:sz="4" w:space="0" w:color="auto"/>
            </w:tcBorders>
            <w:shd w:val="clear" w:color="auto" w:fill="FFFFFF"/>
            <w:vAlign w:val="center"/>
          </w:tcPr>
          <w:p w14:paraId="061B7C99" w14:textId="77777777" w:rsidR="00EA6354" w:rsidRDefault="00EA6354" w:rsidP="008A3F1C">
            <w:pPr>
              <w:pStyle w:val="Inne0"/>
              <w:spacing w:after="0"/>
              <w:rPr>
                <w:sz w:val="18"/>
                <w:szCs w:val="18"/>
              </w:rPr>
            </w:pPr>
            <w:r>
              <w:rPr>
                <w:b/>
                <w:bCs/>
                <w:color w:val="000000"/>
                <w:sz w:val="18"/>
                <w:szCs w:val="18"/>
              </w:rPr>
              <w:t>Jensen 2013</w:t>
            </w:r>
          </w:p>
        </w:tc>
        <w:tc>
          <w:tcPr>
            <w:tcW w:w="7608" w:type="dxa"/>
            <w:tcBorders>
              <w:top w:val="single" w:sz="4" w:space="0" w:color="auto"/>
              <w:left w:val="single" w:sz="4" w:space="0" w:color="auto"/>
              <w:right w:val="single" w:sz="4" w:space="0" w:color="auto"/>
            </w:tcBorders>
            <w:shd w:val="clear" w:color="auto" w:fill="FFFFFF"/>
            <w:vAlign w:val="center"/>
          </w:tcPr>
          <w:p w14:paraId="6787A0FE" w14:textId="77777777" w:rsidR="00EA6354" w:rsidRPr="002201F6" w:rsidRDefault="00EA6354" w:rsidP="008A3F1C">
            <w:pPr>
              <w:pStyle w:val="Inne0"/>
              <w:tabs>
                <w:tab w:val="left" w:pos="3504"/>
              </w:tabs>
              <w:spacing w:after="0"/>
              <w:jc w:val="both"/>
              <w:rPr>
                <w:sz w:val="18"/>
                <w:szCs w:val="18"/>
                <w:lang w:val="en-US"/>
              </w:rPr>
            </w:pPr>
            <w:r w:rsidRPr="002201F6">
              <w:rPr>
                <w:color w:val="000000"/>
                <w:sz w:val="18"/>
                <w:szCs w:val="18"/>
                <w:lang w:val="en-US"/>
              </w:rPr>
              <w:t>Jensen, A. L., Lomborg, K., Wind, G.,</w:t>
            </w:r>
            <w:r w:rsidRPr="002201F6">
              <w:rPr>
                <w:color w:val="000000"/>
                <w:sz w:val="18"/>
                <w:szCs w:val="18"/>
                <w:lang w:val="en-US"/>
              </w:rPr>
              <w:tab/>
              <w:t>&amp; Langdahl, B. L. (2013). Effectiveness and</w:t>
            </w:r>
          </w:p>
          <w:p w14:paraId="59381EF1" w14:textId="77777777" w:rsidR="00EA6354" w:rsidRDefault="00EA6354" w:rsidP="008A3F1C">
            <w:pPr>
              <w:pStyle w:val="Inne0"/>
              <w:spacing w:after="0"/>
              <w:jc w:val="both"/>
              <w:rPr>
                <w:sz w:val="18"/>
                <w:szCs w:val="18"/>
              </w:rPr>
            </w:pPr>
            <w:r w:rsidRPr="002201F6">
              <w:rPr>
                <w:color w:val="000000"/>
                <w:sz w:val="18"/>
                <w:szCs w:val="18"/>
                <w:lang w:val="en-US"/>
              </w:rPr>
              <w:t xml:space="preserve">characteristics of multifaceted osteoporosis group education—a systematic review. </w:t>
            </w:r>
            <w:r>
              <w:rPr>
                <w:color w:val="000000"/>
                <w:sz w:val="18"/>
                <w:szCs w:val="18"/>
              </w:rPr>
              <w:t>Osteoporosis International, 25(4), 1209-1224</w:t>
            </w:r>
          </w:p>
        </w:tc>
      </w:tr>
      <w:tr w:rsidR="00EA6354" w:rsidRPr="002201F6" w14:paraId="3FF01BF4" w14:textId="77777777" w:rsidTr="008A3F1C">
        <w:trPr>
          <w:trHeight w:hRule="exact" w:val="485"/>
          <w:jc w:val="center"/>
        </w:trPr>
        <w:tc>
          <w:tcPr>
            <w:tcW w:w="1469" w:type="dxa"/>
            <w:tcBorders>
              <w:top w:val="single" w:sz="4" w:space="0" w:color="auto"/>
              <w:left w:val="single" w:sz="4" w:space="0" w:color="auto"/>
            </w:tcBorders>
            <w:shd w:val="clear" w:color="auto" w:fill="FFFFFF"/>
            <w:vAlign w:val="center"/>
          </w:tcPr>
          <w:p w14:paraId="1F65E440" w14:textId="77777777" w:rsidR="00EA6354" w:rsidRDefault="00EA6354" w:rsidP="008A3F1C">
            <w:pPr>
              <w:pStyle w:val="Inne0"/>
              <w:spacing w:after="0"/>
              <w:rPr>
                <w:sz w:val="18"/>
                <w:szCs w:val="18"/>
              </w:rPr>
            </w:pPr>
            <w:r>
              <w:rPr>
                <w:b/>
                <w:bCs/>
                <w:color w:val="000000"/>
                <w:sz w:val="18"/>
                <w:szCs w:val="18"/>
              </w:rPr>
              <w:t>Kahwati 2018</w:t>
            </w:r>
          </w:p>
        </w:tc>
        <w:tc>
          <w:tcPr>
            <w:tcW w:w="7608" w:type="dxa"/>
            <w:tcBorders>
              <w:top w:val="single" w:sz="4" w:space="0" w:color="auto"/>
              <w:left w:val="single" w:sz="4" w:space="0" w:color="auto"/>
              <w:right w:val="single" w:sz="4" w:space="0" w:color="auto"/>
            </w:tcBorders>
            <w:shd w:val="clear" w:color="auto" w:fill="FFFFFF"/>
            <w:vAlign w:val="center"/>
          </w:tcPr>
          <w:p w14:paraId="22F22E8A" w14:textId="77777777" w:rsidR="00EA6354" w:rsidRPr="002201F6" w:rsidRDefault="00EA6354" w:rsidP="008A3F1C">
            <w:pPr>
              <w:pStyle w:val="Inne0"/>
              <w:spacing w:after="0"/>
              <w:jc w:val="both"/>
              <w:rPr>
                <w:sz w:val="18"/>
                <w:szCs w:val="18"/>
                <w:lang w:val="en-US"/>
              </w:rPr>
            </w:pPr>
            <w:r w:rsidRPr="002201F6">
              <w:rPr>
                <w:color w:val="000000"/>
                <w:sz w:val="18"/>
                <w:szCs w:val="18"/>
                <w:lang w:val="en-US"/>
              </w:rPr>
              <w:t>Kahwati, L. C., Weber, R. P., Pan, H., Gourlay, M., LeBlanc, E., Coker-Schwimmer, M., &amp; Viswanathan, M.</w:t>
            </w:r>
          </w:p>
        </w:tc>
      </w:tr>
      <w:tr w:rsidR="00EA6354" w14:paraId="2D2DBD7C" w14:textId="77777777" w:rsidTr="008A3F1C">
        <w:trPr>
          <w:trHeight w:hRule="exact" w:val="686"/>
          <w:jc w:val="center"/>
        </w:trPr>
        <w:tc>
          <w:tcPr>
            <w:tcW w:w="1469" w:type="dxa"/>
            <w:tcBorders>
              <w:top w:val="single" w:sz="4" w:space="0" w:color="auto"/>
              <w:left w:val="single" w:sz="4" w:space="0" w:color="auto"/>
            </w:tcBorders>
            <w:shd w:val="clear" w:color="auto" w:fill="FFFFFF"/>
            <w:vAlign w:val="center"/>
          </w:tcPr>
          <w:p w14:paraId="796D45D7" w14:textId="77777777" w:rsidR="00EA6354" w:rsidRDefault="00EA6354" w:rsidP="008A3F1C">
            <w:pPr>
              <w:pStyle w:val="Inne0"/>
              <w:spacing w:after="0"/>
              <w:rPr>
                <w:sz w:val="18"/>
                <w:szCs w:val="18"/>
              </w:rPr>
            </w:pPr>
            <w:r>
              <w:rPr>
                <w:b/>
                <w:bCs/>
                <w:color w:val="000000"/>
                <w:sz w:val="18"/>
                <w:szCs w:val="18"/>
              </w:rPr>
              <w:t>Kanis 2012</w:t>
            </w:r>
          </w:p>
        </w:tc>
        <w:tc>
          <w:tcPr>
            <w:tcW w:w="7608" w:type="dxa"/>
            <w:tcBorders>
              <w:top w:val="single" w:sz="4" w:space="0" w:color="auto"/>
              <w:left w:val="single" w:sz="4" w:space="0" w:color="auto"/>
              <w:right w:val="single" w:sz="4" w:space="0" w:color="auto"/>
            </w:tcBorders>
            <w:shd w:val="clear" w:color="auto" w:fill="FFFFFF"/>
            <w:vAlign w:val="center"/>
          </w:tcPr>
          <w:p w14:paraId="701D4004" w14:textId="77777777" w:rsidR="00EA6354" w:rsidRDefault="00EA6354" w:rsidP="008A3F1C">
            <w:pPr>
              <w:pStyle w:val="Inne0"/>
              <w:spacing w:after="0"/>
              <w:jc w:val="both"/>
              <w:rPr>
                <w:sz w:val="18"/>
                <w:szCs w:val="18"/>
              </w:rPr>
            </w:pPr>
            <w:r w:rsidRPr="002201F6">
              <w:rPr>
                <w:color w:val="000000"/>
                <w:sz w:val="18"/>
                <w:szCs w:val="18"/>
                <w:lang w:val="en-US"/>
              </w:rPr>
              <w:t xml:space="preserve">2018). Vitamin D, calcium, or combined supplementation for the primary prevention of fractures in community-dwelling adults: evidence report and systematic review for the US Preventive Services Task Force. </w:t>
            </w:r>
            <w:r>
              <w:rPr>
                <w:color w:val="000000"/>
                <w:sz w:val="18"/>
                <w:szCs w:val="18"/>
              </w:rPr>
              <w:t>Jama, 319(15), 1600-1612</w:t>
            </w:r>
          </w:p>
        </w:tc>
      </w:tr>
      <w:tr w:rsidR="00EA6354" w14:paraId="65C65988" w14:textId="77777777" w:rsidTr="008A3F1C">
        <w:trPr>
          <w:trHeight w:hRule="exact" w:val="691"/>
          <w:jc w:val="center"/>
        </w:trPr>
        <w:tc>
          <w:tcPr>
            <w:tcW w:w="1469" w:type="dxa"/>
            <w:tcBorders>
              <w:top w:val="single" w:sz="4" w:space="0" w:color="auto"/>
              <w:left w:val="single" w:sz="4" w:space="0" w:color="auto"/>
            </w:tcBorders>
            <w:shd w:val="clear" w:color="auto" w:fill="FFFFFF"/>
            <w:vAlign w:val="center"/>
          </w:tcPr>
          <w:p w14:paraId="4ECB0467" w14:textId="77777777" w:rsidR="00EA6354" w:rsidRDefault="00EA6354" w:rsidP="008A3F1C">
            <w:pPr>
              <w:pStyle w:val="Inne0"/>
              <w:spacing w:after="0"/>
              <w:rPr>
                <w:sz w:val="18"/>
                <w:szCs w:val="18"/>
              </w:rPr>
            </w:pPr>
            <w:r>
              <w:rPr>
                <w:b/>
                <w:bCs/>
                <w:color w:val="000000"/>
                <w:sz w:val="18"/>
                <w:szCs w:val="18"/>
              </w:rPr>
              <w:t>Kanis 2013</w:t>
            </w:r>
          </w:p>
        </w:tc>
        <w:tc>
          <w:tcPr>
            <w:tcW w:w="7608" w:type="dxa"/>
            <w:tcBorders>
              <w:top w:val="single" w:sz="4" w:space="0" w:color="auto"/>
              <w:left w:val="single" w:sz="4" w:space="0" w:color="auto"/>
              <w:right w:val="single" w:sz="4" w:space="0" w:color="auto"/>
            </w:tcBorders>
            <w:shd w:val="clear" w:color="auto" w:fill="FFFFFF"/>
            <w:vAlign w:val="center"/>
          </w:tcPr>
          <w:p w14:paraId="5D74D2C3" w14:textId="77777777" w:rsidR="00EA6354" w:rsidRDefault="00EA6354" w:rsidP="008A3F1C">
            <w:pPr>
              <w:pStyle w:val="Inne0"/>
              <w:spacing w:after="0"/>
              <w:jc w:val="both"/>
              <w:rPr>
                <w:sz w:val="18"/>
                <w:szCs w:val="18"/>
              </w:rPr>
            </w:pPr>
            <w:r w:rsidRPr="002201F6">
              <w:rPr>
                <w:color w:val="000000"/>
                <w:sz w:val="18"/>
                <w:szCs w:val="18"/>
                <w:lang w:val="en-US"/>
              </w:rPr>
              <w:t xml:space="preserve">Kanis, J. A., Oden, A., McCloskey, E. V., Johansson, H., Wahl, D. A., &amp; Cooper, C. (2012). A systematic review of hip fracture incidence and probability of fracture worldwide. </w:t>
            </w:r>
            <w:r>
              <w:rPr>
                <w:color w:val="000000"/>
                <w:sz w:val="18"/>
                <w:szCs w:val="18"/>
              </w:rPr>
              <w:t>Osteoporosis International, 23(9), 2239-2256.</w:t>
            </w:r>
          </w:p>
        </w:tc>
      </w:tr>
      <w:tr w:rsidR="00EA6354" w:rsidRPr="002201F6" w14:paraId="2CECA542" w14:textId="77777777" w:rsidTr="008A3F1C">
        <w:trPr>
          <w:trHeight w:hRule="exact" w:val="691"/>
          <w:jc w:val="center"/>
        </w:trPr>
        <w:tc>
          <w:tcPr>
            <w:tcW w:w="1469" w:type="dxa"/>
            <w:tcBorders>
              <w:top w:val="single" w:sz="4" w:space="0" w:color="auto"/>
              <w:left w:val="single" w:sz="4" w:space="0" w:color="auto"/>
            </w:tcBorders>
            <w:shd w:val="clear" w:color="auto" w:fill="FFFFFF"/>
            <w:vAlign w:val="center"/>
          </w:tcPr>
          <w:p w14:paraId="05659652" w14:textId="77777777" w:rsidR="00EA6354" w:rsidRDefault="00EA6354" w:rsidP="008A3F1C">
            <w:pPr>
              <w:pStyle w:val="Inne0"/>
              <w:spacing w:after="0"/>
              <w:rPr>
                <w:sz w:val="18"/>
                <w:szCs w:val="18"/>
              </w:rPr>
            </w:pPr>
            <w:r>
              <w:rPr>
                <w:b/>
                <w:bCs/>
                <w:color w:val="000000"/>
                <w:sz w:val="18"/>
                <w:szCs w:val="18"/>
              </w:rPr>
              <w:t>Kastner 2017</w:t>
            </w:r>
          </w:p>
        </w:tc>
        <w:tc>
          <w:tcPr>
            <w:tcW w:w="7608" w:type="dxa"/>
            <w:tcBorders>
              <w:top w:val="single" w:sz="4" w:space="0" w:color="auto"/>
              <w:left w:val="single" w:sz="4" w:space="0" w:color="auto"/>
              <w:right w:val="single" w:sz="4" w:space="0" w:color="auto"/>
            </w:tcBorders>
            <w:shd w:val="clear" w:color="auto" w:fill="FFFFFF"/>
            <w:vAlign w:val="center"/>
          </w:tcPr>
          <w:p w14:paraId="25446816" w14:textId="77777777" w:rsidR="00EA6354" w:rsidRPr="002201F6" w:rsidRDefault="00EA6354" w:rsidP="008A3F1C">
            <w:pPr>
              <w:pStyle w:val="Inne0"/>
              <w:tabs>
                <w:tab w:val="left" w:pos="7003"/>
                <w:tab w:val="left" w:pos="7248"/>
              </w:tabs>
              <w:spacing w:after="0"/>
              <w:jc w:val="both"/>
              <w:rPr>
                <w:sz w:val="18"/>
                <w:szCs w:val="18"/>
                <w:lang w:val="en-US"/>
              </w:rPr>
            </w:pPr>
            <w:r w:rsidRPr="002201F6">
              <w:rPr>
                <w:color w:val="000000"/>
                <w:sz w:val="18"/>
                <w:szCs w:val="18"/>
                <w:lang w:val="en-US"/>
              </w:rPr>
              <w:t>Kanis, J. A., Borgstrom, F., Compston, J., Dreinhofer, K., Nolte, E., Jonsson, L.,</w:t>
            </w:r>
            <w:r w:rsidRPr="002201F6">
              <w:rPr>
                <w:color w:val="000000"/>
                <w:sz w:val="18"/>
                <w:szCs w:val="18"/>
                <w:lang w:val="en-US"/>
              </w:rPr>
              <w:tab/>
              <w:t>...</w:t>
            </w:r>
            <w:r w:rsidRPr="002201F6">
              <w:rPr>
                <w:color w:val="000000"/>
                <w:sz w:val="18"/>
                <w:szCs w:val="18"/>
                <w:lang w:val="en-US"/>
              </w:rPr>
              <w:tab/>
              <w:t>&amp;</w:t>
            </w:r>
          </w:p>
          <w:p w14:paraId="4C59D27B" w14:textId="77777777" w:rsidR="00EA6354" w:rsidRPr="002201F6" w:rsidRDefault="00EA6354" w:rsidP="008A3F1C">
            <w:pPr>
              <w:pStyle w:val="Inne0"/>
              <w:spacing w:after="0"/>
              <w:jc w:val="both"/>
              <w:rPr>
                <w:sz w:val="18"/>
                <w:szCs w:val="18"/>
                <w:lang w:val="en-US"/>
              </w:rPr>
            </w:pPr>
            <w:r w:rsidRPr="002201F6">
              <w:rPr>
                <w:color w:val="000000"/>
                <w:sz w:val="18"/>
                <w:szCs w:val="18"/>
                <w:lang w:val="en-US"/>
              </w:rPr>
              <w:t>Stenmark, J. (2013). SCOPE: a scorecard for osteoporosis in Europe. Archives of osteoporosis, 8(1-2), 144.</w:t>
            </w:r>
          </w:p>
        </w:tc>
      </w:tr>
      <w:tr w:rsidR="00EA6354" w14:paraId="4E3D1AE9" w14:textId="77777777" w:rsidTr="008A3F1C">
        <w:trPr>
          <w:trHeight w:hRule="exact" w:val="691"/>
          <w:jc w:val="center"/>
        </w:trPr>
        <w:tc>
          <w:tcPr>
            <w:tcW w:w="1469" w:type="dxa"/>
            <w:tcBorders>
              <w:top w:val="single" w:sz="4" w:space="0" w:color="auto"/>
              <w:left w:val="single" w:sz="4" w:space="0" w:color="auto"/>
            </w:tcBorders>
            <w:shd w:val="clear" w:color="auto" w:fill="FFFFFF"/>
            <w:vAlign w:val="center"/>
          </w:tcPr>
          <w:p w14:paraId="0D8C9006" w14:textId="77777777" w:rsidR="00EA6354" w:rsidRDefault="00EA6354" w:rsidP="008A3F1C">
            <w:pPr>
              <w:pStyle w:val="Inne0"/>
              <w:spacing w:after="0"/>
              <w:rPr>
                <w:sz w:val="18"/>
                <w:szCs w:val="18"/>
              </w:rPr>
            </w:pPr>
            <w:r>
              <w:rPr>
                <w:b/>
                <w:bCs/>
                <w:color w:val="000000"/>
                <w:sz w:val="18"/>
                <w:szCs w:val="18"/>
              </w:rPr>
              <w:t>Liu 2008</w:t>
            </w:r>
          </w:p>
        </w:tc>
        <w:tc>
          <w:tcPr>
            <w:tcW w:w="7608" w:type="dxa"/>
            <w:tcBorders>
              <w:top w:val="single" w:sz="4" w:space="0" w:color="auto"/>
              <w:left w:val="single" w:sz="4" w:space="0" w:color="auto"/>
              <w:right w:val="single" w:sz="4" w:space="0" w:color="auto"/>
            </w:tcBorders>
            <w:shd w:val="clear" w:color="auto" w:fill="FFFFFF"/>
            <w:vAlign w:val="center"/>
          </w:tcPr>
          <w:p w14:paraId="647DEEC0" w14:textId="77777777" w:rsidR="00EA6354" w:rsidRDefault="00EA6354" w:rsidP="008A3F1C">
            <w:pPr>
              <w:pStyle w:val="Inne0"/>
              <w:spacing w:after="0"/>
              <w:jc w:val="both"/>
              <w:rPr>
                <w:sz w:val="18"/>
                <w:szCs w:val="18"/>
              </w:rPr>
            </w:pPr>
            <w:r w:rsidRPr="002201F6">
              <w:rPr>
                <w:color w:val="000000"/>
                <w:sz w:val="18"/>
                <w:szCs w:val="18"/>
                <w:lang w:val="en-US"/>
              </w:rPr>
              <w:t xml:space="preserve">Kastner, M., Perrier, L., Munce, S. E. P., Adhihetty, C. C., Lau, A., Hamid, J., ... &amp; Straus, S. E. (2017). Complex interventions can increase osteoporosis investigations and treatment: a systematic review and meta-analysis. </w:t>
            </w:r>
            <w:r>
              <w:rPr>
                <w:color w:val="000000"/>
                <w:sz w:val="18"/>
                <w:szCs w:val="18"/>
              </w:rPr>
              <w:t>Osteoporosis International, 1-13</w:t>
            </w:r>
          </w:p>
        </w:tc>
      </w:tr>
      <w:tr w:rsidR="00EA6354" w14:paraId="5FDBDDF2" w14:textId="77777777" w:rsidTr="008A3F1C">
        <w:trPr>
          <w:trHeight w:hRule="exact" w:val="898"/>
          <w:jc w:val="center"/>
        </w:trPr>
        <w:tc>
          <w:tcPr>
            <w:tcW w:w="1469" w:type="dxa"/>
            <w:tcBorders>
              <w:top w:val="single" w:sz="4" w:space="0" w:color="auto"/>
              <w:left w:val="single" w:sz="4" w:space="0" w:color="auto"/>
            </w:tcBorders>
            <w:shd w:val="clear" w:color="auto" w:fill="FFFFFF"/>
            <w:vAlign w:val="center"/>
          </w:tcPr>
          <w:p w14:paraId="193E2A59" w14:textId="77777777" w:rsidR="00EA6354" w:rsidRDefault="00EA6354" w:rsidP="008A3F1C">
            <w:pPr>
              <w:pStyle w:val="Inne0"/>
              <w:spacing w:after="0"/>
              <w:rPr>
                <w:sz w:val="18"/>
                <w:szCs w:val="18"/>
              </w:rPr>
            </w:pPr>
            <w:r>
              <w:rPr>
                <w:b/>
                <w:bCs/>
                <w:color w:val="000000"/>
                <w:sz w:val="18"/>
                <w:szCs w:val="18"/>
              </w:rPr>
              <w:t>Marques 2015</w:t>
            </w:r>
          </w:p>
        </w:tc>
        <w:tc>
          <w:tcPr>
            <w:tcW w:w="7608" w:type="dxa"/>
            <w:tcBorders>
              <w:top w:val="single" w:sz="4" w:space="0" w:color="auto"/>
              <w:left w:val="single" w:sz="4" w:space="0" w:color="auto"/>
              <w:right w:val="single" w:sz="4" w:space="0" w:color="auto"/>
            </w:tcBorders>
            <w:shd w:val="clear" w:color="auto" w:fill="FFFFFF"/>
            <w:vAlign w:val="center"/>
          </w:tcPr>
          <w:p w14:paraId="00EB59AC" w14:textId="77777777" w:rsidR="00EA6354" w:rsidRDefault="00EA6354" w:rsidP="008A3F1C">
            <w:pPr>
              <w:pStyle w:val="Inne0"/>
              <w:spacing w:after="0"/>
              <w:jc w:val="both"/>
              <w:rPr>
                <w:sz w:val="18"/>
                <w:szCs w:val="18"/>
              </w:rPr>
            </w:pPr>
            <w:r w:rsidRPr="002201F6">
              <w:rPr>
                <w:color w:val="000000"/>
                <w:sz w:val="18"/>
                <w:szCs w:val="18"/>
                <w:lang w:val="en-US"/>
              </w:rPr>
              <w:t xml:space="preserve">Liu, H., Paige, N. M., Goldzweig, C. L., Wong, E., Zhou, A., Suttorp, M. J., ... &amp; Shekelle, P. (2008). Screening for Osteoporosis in Men: A Systematic Review for an American College of Physicians GuidelineMale Osteoporosis Screening. </w:t>
            </w:r>
            <w:r>
              <w:rPr>
                <w:color w:val="000000"/>
                <w:sz w:val="18"/>
                <w:szCs w:val="18"/>
              </w:rPr>
              <w:t>Annals of Internal Medicine, 148(9), 685</w:t>
            </w:r>
            <w:r>
              <w:rPr>
                <w:color w:val="000000"/>
                <w:sz w:val="18"/>
                <w:szCs w:val="18"/>
              </w:rPr>
              <w:softHyphen/>
              <w:t>701</w:t>
            </w:r>
          </w:p>
        </w:tc>
      </w:tr>
      <w:tr w:rsidR="00EA6354" w14:paraId="2140EB2C" w14:textId="77777777" w:rsidTr="008A3F1C">
        <w:trPr>
          <w:trHeight w:hRule="exact" w:val="691"/>
          <w:jc w:val="center"/>
        </w:trPr>
        <w:tc>
          <w:tcPr>
            <w:tcW w:w="1469" w:type="dxa"/>
            <w:tcBorders>
              <w:top w:val="single" w:sz="4" w:space="0" w:color="auto"/>
              <w:left w:val="single" w:sz="4" w:space="0" w:color="auto"/>
            </w:tcBorders>
            <w:shd w:val="clear" w:color="auto" w:fill="FFFFFF"/>
            <w:vAlign w:val="center"/>
          </w:tcPr>
          <w:p w14:paraId="10DE6B2E" w14:textId="77777777" w:rsidR="00EA6354" w:rsidRDefault="00EA6354" w:rsidP="008A3F1C">
            <w:pPr>
              <w:pStyle w:val="Inne0"/>
              <w:spacing w:after="0"/>
              <w:rPr>
                <w:sz w:val="18"/>
                <w:szCs w:val="18"/>
              </w:rPr>
            </w:pPr>
            <w:r>
              <w:rPr>
                <w:b/>
                <w:bCs/>
                <w:color w:val="000000"/>
                <w:sz w:val="18"/>
                <w:szCs w:val="18"/>
              </w:rPr>
              <w:t>Merlijn 2018</w:t>
            </w:r>
          </w:p>
        </w:tc>
        <w:tc>
          <w:tcPr>
            <w:tcW w:w="7608" w:type="dxa"/>
            <w:tcBorders>
              <w:top w:val="single" w:sz="4" w:space="0" w:color="auto"/>
              <w:left w:val="single" w:sz="4" w:space="0" w:color="auto"/>
              <w:right w:val="single" w:sz="4" w:space="0" w:color="auto"/>
            </w:tcBorders>
            <w:shd w:val="clear" w:color="auto" w:fill="FFFFFF"/>
            <w:vAlign w:val="center"/>
          </w:tcPr>
          <w:p w14:paraId="3FC26F9F" w14:textId="77777777" w:rsidR="00EA6354" w:rsidRDefault="00EA6354" w:rsidP="008A3F1C">
            <w:pPr>
              <w:pStyle w:val="Inne0"/>
              <w:spacing w:after="0"/>
              <w:jc w:val="both"/>
              <w:rPr>
                <w:sz w:val="18"/>
                <w:szCs w:val="18"/>
              </w:rPr>
            </w:pPr>
            <w:r w:rsidRPr="002201F6">
              <w:rPr>
                <w:color w:val="000000"/>
                <w:sz w:val="18"/>
                <w:szCs w:val="18"/>
                <w:lang w:val="en-US"/>
              </w:rPr>
              <w:t xml:space="preserve">Marques, A., Ferreira, R. J., Santos, E., Loza, E., Carmona, L., &amp; da Silva, J. A. P. (2015). The accuracy of osteoporotic fracture risk prediction tools: a systematic review and meta- analysis. </w:t>
            </w:r>
            <w:r>
              <w:rPr>
                <w:color w:val="000000"/>
                <w:sz w:val="18"/>
                <w:szCs w:val="18"/>
              </w:rPr>
              <w:t>Annals of the rheumatic diseases, annrheumdis-2015</w:t>
            </w:r>
          </w:p>
        </w:tc>
      </w:tr>
      <w:tr w:rsidR="00EA6354" w:rsidRPr="002201F6" w14:paraId="4C96F49E" w14:textId="77777777" w:rsidTr="008A3F1C">
        <w:trPr>
          <w:trHeight w:hRule="exact" w:val="898"/>
          <w:jc w:val="center"/>
        </w:trPr>
        <w:tc>
          <w:tcPr>
            <w:tcW w:w="1469" w:type="dxa"/>
            <w:tcBorders>
              <w:top w:val="single" w:sz="4" w:space="0" w:color="auto"/>
              <w:left w:val="single" w:sz="4" w:space="0" w:color="auto"/>
            </w:tcBorders>
            <w:shd w:val="clear" w:color="auto" w:fill="FFFFFF"/>
            <w:vAlign w:val="center"/>
          </w:tcPr>
          <w:p w14:paraId="528ACA9B" w14:textId="77777777" w:rsidR="00EA6354" w:rsidRDefault="00EA6354" w:rsidP="008A3F1C">
            <w:pPr>
              <w:pStyle w:val="Inne0"/>
              <w:spacing w:after="0"/>
              <w:rPr>
                <w:sz w:val="18"/>
                <w:szCs w:val="18"/>
              </w:rPr>
            </w:pPr>
            <w:r>
              <w:rPr>
                <w:b/>
                <w:bCs/>
                <w:color w:val="000000"/>
                <w:sz w:val="18"/>
                <w:szCs w:val="18"/>
              </w:rPr>
              <w:t>Moayyeri 2011</w:t>
            </w:r>
          </w:p>
        </w:tc>
        <w:tc>
          <w:tcPr>
            <w:tcW w:w="7608" w:type="dxa"/>
            <w:tcBorders>
              <w:top w:val="single" w:sz="4" w:space="0" w:color="auto"/>
              <w:left w:val="single" w:sz="4" w:space="0" w:color="auto"/>
              <w:right w:val="single" w:sz="4" w:space="0" w:color="auto"/>
            </w:tcBorders>
            <w:shd w:val="clear" w:color="auto" w:fill="FFFFFF"/>
            <w:vAlign w:val="center"/>
          </w:tcPr>
          <w:p w14:paraId="318B6B0F" w14:textId="77777777" w:rsidR="00EA6354" w:rsidRPr="002201F6" w:rsidRDefault="00EA6354" w:rsidP="008A3F1C">
            <w:pPr>
              <w:pStyle w:val="Inne0"/>
              <w:spacing w:after="0"/>
              <w:jc w:val="both"/>
              <w:rPr>
                <w:sz w:val="18"/>
                <w:szCs w:val="18"/>
                <w:lang w:val="en-US"/>
              </w:rPr>
            </w:pPr>
            <w:r w:rsidRPr="002201F6">
              <w:rPr>
                <w:color w:val="000000"/>
                <w:sz w:val="18"/>
                <w:szCs w:val="18"/>
                <w:lang w:val="en-US"/>
              </w:rPr>
              <w:t>Merlijn T, Swart K, Netelenbos C, Elders P (2018). Screening of high fracture risk in primary care to reduce fractures: the SALT Osteoporosis Study a randomized trial. Conference: 45th european calcified tissue society congress, ECTS 2018. Spain, 2018, 102(1 Supplement 1), S17</w:t>
            </w:r>
          </w:p>
        </w:tc>
      </w:tr>
      <w:tr w:rsidR="00EA6354" w14:paraId="427C8B1C" w14:textId="77777777" w:rsidTr="008A3F1C">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563326E4" w14:textId="77777777" w:rsidR="00EA6354" w:rsidRDefault="00EA6354" w:rsidP="008A3F1C">
            <w:pPr>
              <w:pStyle w:val="Inne0"/>
              <w:spacing w:after="0"/>
              <w:rPr>
                <w:sz w:val="18"/>
                <w:szCs w:val="18"/>
              </w:rPr>
            </w:pPr>
            <w:r>
              <w:rPr>
                <w:b/>
                <w:bCs/>
                <w:color w:val="000000"/>
                <w:sz w:val="18"/>
                <w:szCs w:val="18"/>
              </w:rPr>
              <w:t>Morfeld 2017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367DC56" w14:textId="77777777" w:rsidR="00EA6354" w:rsidRDefault="00EA6354" w:rsidP="008A3F1C">
            <w:pPr>
              <w:pStyle w:val="Inne0"/>
              <w:spacing w:after="0"/>
              <w:jc w:val="both"/>
              <w:rPr>
                <w:sz w:val="18"/>
                <w:szCs w:val="18"/>
              </w:rPr>
            </w:pPr>
            <w:r w:rsidRPr="002201F6">
              <w:rPr>
                <w:color w:val="000000"/>
                <w:sz w:val="18"/>
                <w:szCs w:val="18"/>
                <w:lang w:val="en-US"/>
              </w:rPr>
              <w:t xml:space="preserve">Moayyeri, A., Adams, J., Adler, R., Blake, G., Krieg, M. A., Hans, D., ... &amp; Lewiecki, E. M. (2011). Quantitative ultrasound of the heel and fracture risk assessment: an updated meta- analysis. </w:t>
            </w:r>
            <w:r>
              <w:rPr>
                <w:color w:val="000000"/>
                <w:sz w:val="18"/>
                <w:szCs w:val="18"/>
              </w:rPr>
              <w:t>In OSTEOPOROSIS INTERNATIONAL (Vol. 22, pp. 98-99)</w:t>
            </w:r>
          </w:p>
        </w:tc>
      </w:tr>
      <w:tr w:rsidR="00EA6354" w14:paraId="63D4036E"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2D11368E" w14:textId="77777777" w:rsidR="00EA6354" w:rsidRPr="00EA6354" w:rsidRDefault="00EA6354" w:rsidP="008A3F1C">
            <w:pPr>
              <w:pStyle w:val="Inne0"/>
              <w:spacing w:after="0"/>
              <w:rPr>
                <w:b/>
                <w:bCs/>
                <w:color w:val="000000"/>
                <w:sz w:val="18"/>
                <w:szCs w:val="18"/>
              </w:rPr>
            </w:pPr>
            <w:r>
              <w:rPr>
                <w:b/>
                <w:bCs/>
                <w:color w:val="000000"/>
                <w:sz w:val="18"/>
                <w:szCs w:val="18"/>
              </w:rPr>
              <w:lastRenderedPageBreak/>
              <w:t>Mueller 2009</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8669E4F"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Mueller, D., &amp; Gandjour, A. (2009). Cost-Effectiveness of Using Clinical Risk Factors with and without DXA for Osteoporosis Screening in Postmenopausal Women. </w:t>
            </w:r>
            <w:r>
              <w:rPr>
                <w:color w:val="000000"/>
                <w:sz w:val="18"/>
                <w:szCs w:val="18"/>
              </w:rPr>
              <w:t>Value in Health, 12(8), 1106-1117</w:t>
            </w:r>
          </w:p>
        </w:tc>
      </w:tr>
      <w:tr w:rsidR="00EA6354" w14:paraId="3DA79897"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57947EC8" w14:textId="77777777" w:rsidR="00EA6354" w:rsidRPr="00EA6354" w:rsidRDefault="00EA6354" w:rsidP="008A3F1C">
            <w:pPr>
              <w:pStyle w:val="Inne0"/>
              <w:spacing w:after="0"/>
              <w:rPr>
                <w:b/>
                <w:bCs/>
                <w:color w:val="000000"/>
                <w:sz w:val="18"/>
                <w:szCs w:val="18"/>
              </w:rPr>
            </w:pPr>
            <w:r>
              <w:rPr>
                <w:b/>
                <w:bCs/>
                <w:color w:val="000000"/>
                <w:sz w:val="18"/>
                <w:szCs w:val="18"/>
              </w:rPr>
              <w:t>Nayak 2014</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76D0A71A"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Nayak, S., Edwards, D. L., Saleh, A. A., &amp; Greenspan, S. L. (2014). Performance of risk assessment instruments for predicting osteoporotic fracture risk: a systematic review. </w:t>
            </w:r>
            <w:r>
              <w:rPr>
                <w:color w:val="000000"/>
                <w:sz w:val="18"/>
                <w:szCs w:val="18"/>
              </w:rPr>
              <w:t>Osteoporosis International, 25(1), 23-49</w:t>
            </w:r>
          </w:p>
        </w:tc>
      </w:tr>
      <w:tr w:rsidR="00EA6354" w14:paraId="40265E3A"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6195B457" w14:textId="77777777" w:rsidR="00EA6354" w:rsidRPr="00EA6354" w:rsidRDefault="00EA6354" w:rsidP="008A3F1C">
            <w:pPr>
              <w:pStyle w:val="Inne0"/>
              <w:spacing w:after="0"/>
              <w:rPr>
                <w:b/>
                <w:bCs/>
                <w:color w:val="000000"/>
                <w:sz w:val="18"/>
                <w:szCs w:val="18"/>
              </w:rPr>
            </w:pPr>
            <w:r>
              <w:rPr>
                <w:b/>
                <w:bCs/>
                <w:color w:val="000000"/>
                <w:sz w:val="18"/>
                <w:szCs w:val="18"/>
              </w:rPr>
              <w:t>Nayak 2015</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4734657E"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Nayak, S., Edwards, D. L., Saleh, A. A., &amp; Greenspan, S. L. (2015). Systematic review and meta-analysis of the performance of clinical risk assessment instruments for screening for osteoporosis or low bone density. </w:t>
            </w:r>
            <w:r>
              <w:rPr>
                <w:color w:val="000000"/>
                <w:sz w:val="18"/>
                <w:szCs w:val="18"/>
              </w:rPr>
              <w:t>Osteoporosis International, 26(5), 1543-1554</w:t>
            </w:r>
          </w:p>
        </w:tc>
      </w:tr>
      <w:tr w:rsidR="00EA6354" w14:paraId="16E49F07"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1AF9AD8A" w14:textId="77777777" w:rsidR="00EA6354" w:rsidRPr="00EA6354" w:rsidRDefault="00EA6354" w:rsidP="008A3F1C">
            <w:pPr>
              <w:pStyle w:val="Inne0"/>
              <w:spacing w:after="0"/>
              <w:rPr>
                <w:b/>
                <w:bCs/>
                <w:color w:val="000000"/>
                <w:sz w:val="18"/>
                <w:szCs w:val="18"/>
              </w:rPr>
            </w:pPr>
            <w:r>
              <w:rPr>
                <w:b/>
                <w:bCs/>
                <w:color w:val="000000"/>
                <w:sz w:val="18"/>
                <w:szCs w:val="18"/>
              </w:rPr>
              <w:t>Nayak 2018</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77835222" w14:textId="77777777" w:rsidR="00EA6354" w:rsidRPr="002201F6" w:rsidRDefault="00EA6354" w:rsidP="00EA6354">
            <w:pPr>
              <w:pStyle w:val="Inne0"/>
              <w:spacing w:after="0"/>
              <w:jc w:val="both"/>
              <w:rPr>
                <w:color w:val="000000"/>
                <w:sz w:val="18"/>
                <w:szCs w:val="18"/>
                <w:lang w:val="en-US"/>
              </w:rPr>
            </w:pPr>
            <w:r w:rsidRPr="002201F6">
              <w:rPr>
                <w:color w:val="000000"/>
                <w:sz w:val="18"/>
                <w:szCs w:val="18"/>
                <w:lang w:val="en-US"/>
              </w:rPr>
              <w:t>Nayak, S.,</w:t>
            </w:r>
            <w:r w:rsidRPr="002201F6">
              <w:rPr>
                <w:color w:val="000000"/>
                <w:sz w:val="18"/>
                <w:szCs w:val="18"/>
                <w:lang w:val="en-US"/>
              </w:rPr>
              <w:tab/>
              <w:t>&amp; Greenspan, S. L. (2018). How Can We Improve Osteoporosis Care? A</w:t>
            </w:r>
          </w:p>
          <w:p w14:paraId="03F2DBBD"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Systematic Review and Meta-Analysis of the Efficacy of Quality Improvement Strategies for Osteoporosis. </w:t>
            </w:r>
            <w:r>
              <w:rPr>
                <w:color w:val="000000"/>
                <w:sz w:val="18"/>
                <w:szCs w:val="18"/>
              </w:rPr>
              <w:t>Journal of Bone and Mineral Research</w:t>
            </w:r>
          </w:p>
        </w:tc>
      </w:tr>
      <w:tr w:rsidR="00EA6354" w:rsidRPr="002201F6" w14:paraId="2059D80D"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5BB5A050" w14:textId="77777777" w:rsidR="00EA6354" w:rsidRPr="00EA6354" w:rsidRDefault="00EA6354" w:rsidP="008A3F1C">
            <w:pPr>
              <w:pStyle w:val="Inne0"/>
              <w:spacing w:after="0"/>
              <w:rPr>
                <w:b/>
                <w:bCs/>
                <w:color w:val="000000"/>
                <w:sz w:val="18"/>
                <w:szCs w:val="18"/>
              </w:rPr>
            </w:pPr>
            <w:r>
              <w:rPr>
                <w:b/>
                <w:bCs/>
                <w:color w:val="000000"/>
                <w:sz w:val="18"/>
                <w:szCs w:val="18"/>
              </w:rPr>
              <w:t>Orchard 2012</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61D415EC" w14:textId="77777777" w:rsidR="00EA6354" w:rsidRPr="002201F6" w:rsidRDefault="00EA6354" w:rsidP="008A3F1C">
            <w:pPr>
              <w:pStyle w:val="Inne0"/>
              <w:spacing w:after="0"/>
              <w:jc w:val="both"/>
              <w:rPr>
                <w:color w:val="000000"/>
                <w:sz w:val="18"/>
                <w:szCs w:val="18"/>
                <w:lang w:val="en-US"/>
              </w:rPr>
            </w:pPr>
            <w:r w:rsidRPr="002201F6">
              <w:rPr>
                <w:color w:val="000000"/>
                <w:sz w:val="18"/>
                <w:szCs w:val="18"/>
                <w:lang w:val="en-US"/>
              </w:rPr>
              <w:t>Orchard, T. S., Pan, X., Cheek, F., Ing, S. W., &amp; Jackson, R. D. (2012). A systematic review of omega-3 fatty acids and osteoporosis. British Journal of Nutrition, 107(S2), S253-S260</w:t>
            </w:r>
          </w:p>
        </w:tc>
      </w:tr>
      <w:tr w:rsidR="00EA6354" w14:paraId="77341D0C"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31C231FB" w14:textId="77777777" w:rsidR="00EA6354" w:rsidRPr="00EA6354" w:rsidRDefault="00EA6354" w:rsidP="008A3F1C">
            <w:pPr>
              <w:pStyle w:val="Inne0"/>
              <w:spacing w:after="0"/>
              <w:rPr>
                <w:b/>
                <w:bCs/>
                <w:color w:val="000000"/>
                <w:sz w:val="18"/>
                <w:szCs w:val="18"/>
              </w:rPr>
            </w:pPr>
            <w:r>
              <w:rPr>
                <w:b/>
                <w:bCs/>
                <w:color w:val="000000"/>
                <w:sz w:val="18"/>
                <w:szCs w:val="18"/>
              </w:rPr>
              <w:t>Posadzki 2016</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2043A10"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Posadzki, P., Mastellos, N., Ryan, R., Gunn, L. H., Felix, L. M., Pappas, Y., ... &amp; Car, J. (2016). Automated telephone communication systems for preventive healthcare and management of long-term conditions. </w:t>
            </w:r>
            <w:r>
              <w:rPr>
                <w:color w:val="000000"/>
                <w:sz w:val="18"/>
                <w:szCs w:val="18"/>
              </w:rPr>
              <w:t>The Cochrane Library</w:t>
            </w:r>
          </w:p>
        </w:tc>
      </w:tr>
      <w:tr w:rsidR="00EA6354" w14:paraId="22D3B5B1"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254B6022" w14:textId="77777777" w:rsidR="00EA6354" w:rsidRPr="00EA6354" w:rsidRDefault="00EA6354" w:rsidP="008A3F1C">
            <w:pPr>
              <w:pStyle w:val="Inne0"/>
              <w:spacing w:after="0"/>
              <w:rPr>
                <w:b/>
                <w:bCs/>
                <w:color w:val="000000"/>
                <w:sz w:val="18"/>
                <w:szCs w:val="18"/>
              </w:rPr>
            </w:pPr>
            <w:r>
              <w:rPr>
                <w:b/>
                <w:bCs/>
                <w:color w:val="000000"/>
                <w:sz w:val="18"/>
                <w:szCs w:val="18"/>
              </w:rPr>
              <w:t>Reid 2013</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57B3ABD4"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Reid, I. R., Bolland, M. J., &amp; Grey, A. (2013). Effects of vitamin D supplements on bone mineral density: a systematic review and meta-analysis. </w:t>
            </w:r>
            <w:r>
              <w:rPr>
                <w:color w:val="000000"/>
                <w:sz w:val="18"/>
                <w:szCs w:val="18"/>
              </w:rPr>
              <w:t>The Lancet, 383(9912), 146-155</w:t>
            </w:r>
          </w:p>
        </w:tc>
      </w:tr>
      <w:tr w:rsidR="00EA6354" w14:paraId="48A5E2C7"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2EEDFA54" w14:textId="77777777" w:rsidR="00EA6354" w:rsidRPr="00EA6354" w:rsidRDefault="00EA6354" w:rsidP="008A3F1C">
            <w:pPr>
              <w:pStyle w:val="Inne0"/>
              <w:spacing w:after="0"/>
              <w:rPr>
                <w:b/>
                <w:bCs/>
                <w:color w:val="000000"/>
                <w:sz w:val="18"/>
                <w:szCs w:val="18"/>
              </w:rPr>
            </w:pPr>
            <w:r>
              <w:rPr>
                <w:b/>
                <w:bCs/>
                <w:color w:val="000000"/>
                <w:sz w:val="18"/>
                <w:szCs w:val="18"/>
              </w:rPr>
              <w:t>Rubin 2013</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7AA936BD"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Rubin, K. H., Friis-Holmberg, T., Hermann, A. P., Abrahamsen, B., &amp; Brixen, K. (2013). Risk assessment tools to identify women with increased risk of osteoporotic fracture: complexity or simplicity? </w:t>
            </w:r>
            <w:r>
              <w:rPr>
                <w:color w:val="000000"/>
                <w:sz w:val="18"/>
                <w:szCs w:val="18"/>
              </w:rPr>
              <w:t>A systematic review. Journal of Bone and Mineral Research, 28(8), 1701-1717</w:t>
            </w:r>
          </w:p>
        </w:tc>
      </w:tr>
      <w:tr w:rsidR="00EA6354" w14:paraId="49FA1BB0"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1EF9B859" w14:textId="77777777" w:rsidR="00EA6354" w:rsidRPr="00EA6354" w:rsidRDefault="00EA6354" w:rsidP="008A3F1C">
            <w:pPr>
              <w:pStyle w:val="Inne0"/>
              <w:spacing w:after="0"/>
              <w:rPr>
                <w:b/>
                <w:bCs/>
                <w:color w:val="000000"/>
                <w:sz w:val="18"/>
                <w:szCs w:val="18"/>
              </w:rPr>
            </w:pPr>
            <w:r>
              <w:rPr>
                <w:b/>
                <w:bCs/>
                <w:color w:val="000000"/>
                <w:sz w:val="18"/>
                <w:szCs w:val="18"/>
              </w:rPr>
              <w:t>Ryan 2013</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6D21EFD1"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Ryan, P., Schlidt, A., &amp; Ryan, C. (2013). The impact of osteoporosis prevention programs on calcium intake: a systematic review. </w:t>
            </w:r>
            <w:r>
              <w:rPr>
                <w:color w:val="000000"/>
                <w:sz w:val="18"/>
                <w:szCs w:val="18"/>
              </w:rPr>
              <w:t>Osteoporosis International, 24(6), 1791-1801</w:t>
            </w:r>
          </w:p>
        </w:tc>
      </w:tr>
      <w:tr w:rsidR="00EA6354" w14:paraId="29FBAD97"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1B050508" w14:textId="77777777" w:rsidR="00EA6354" w:rsidRPr="00EA6354" w:rsidRDefault="00EA6354" w:rsidP="008A3F1C">
            <w:pPr>
              <w:pStyle w:val="Inne0"/>
              <w:spacing w:after="0"/>
              <w:rPr>
                <w:b/>
                <w:bCs/>
                <w:color w:val="000000"/>
                <w:sz w:val="18"/>
                <w:szCs w:val="18"/>
              </w:rPr>
            </w:pPr>
            <w:r>
              <w:rPr>
                <w:b/>
                <w:bCs/>
                <w:color w:val="000000"/>
                <w:sz w:val="18"/>
                <w:szCs w:val="18"/>
              </w:rPr>
              <w:t>Smith 2010</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2A9ED26F"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Smith, C. A. (2010). A Systematic Review of Healthcare Professional-Led Education for Patients With Osteoporosis or Those at High Risk for the Disease. </w:t>
            </w:r>
            <w:r>
              <w:rPr>
                <w:color w:val="000000"/>
                <w:sz w:val="18"/>
                <w:szCs w:val="18"/>
              </w:rPr>
              <w:t>Orthopaedic Nursing, 29(2), 119-132</w:t>
            </w:r>
          </w:p>
        </w:tc>
      </w:tr>
      <w:tr w:rsidR="00EA6354" w14:paraId="6DC027E9"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373F3559" w14:textId="77777777" w:rsidR="00EA6354" w:rsidRPr="00EA6354" w:rsidRDefault="00EA6354" w:rsidP="00EA6354">
            <w:pPr>
              <w:pStyle w:val="Inne0"/>
              <w:spacing w:after="0"/>
              <w:rPr>
                <w:b/>
                <w:bCs/>
                <w:color w:val="000000"/>
                <w:sz w:val="18"/>
                <w:szCs w:val="18"/>
              </w:rPr>
            </w:pPr>
            <w:r>
              <w:rPr>
                <w:b/>
                <w:bCs/>
                <w:color w:val="000000"/>
                <w:sz w:val="18"/>
                <w:szCs w:val="18"/>
              </w:rPr>
              <w:t>Viswanathan 2018</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EEE79B7"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Viswanathan, M., Reddy, S., Berkman, N., Cullen, K., Middleton, J. C., Nicholson, W. K., &amp; Kahwati, L. C. (2018). Screening to prevent osteoporotic fractures: updated evidence report and systematic review for the US Preventive Services Task Force. </w:t>
            </w:r>
            <w:r>
              <w:rPr>
                <w:color w:val="000000"/>
                <w:sz w:val="18"/>
                <w:szCs w:val="18"/>
              </w:rPr>
              <w:t>JAMA, 319(24), 2532</w:t>
            </w:r>
            <w:r>
              <w:rPr>
                <w:color w:val="000000"/>
                <w:sz w:val="18"/>
                <w:szCs w:val="18"/>
              </w:rPr>
              <w:softHyphen/>
              <w:t>2551.</w:t>
            </w:r>
          </w:p>
        </w:tc>
      </w:tr>
      <w:tr w:rsidR="00EA6354" w14:paraId="0FAA2FA2"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7FC80BF4" w14:textId="77777777" w:rsidR="00EA6354" w:rsidRPr="00EA6354" w:rsidRDefault="00EA6354" w:rsidP="008A3F1C">
            <w:pPr>
              <w:pStyle w:val="Inne0"/>
              <w:spacing w:after="0"/>
              <w:rPr>
                <w:b/>
                <w:bCs/>
                <w:color w:val="000000"/>
                <w:sz w:val="18"/>
                <w:szCs w:val="18"/>
              </w:rPr>
            </w:pPr>
            <w:r>
              <w:rPr>
                <w:b/>
                <w:bCs/>
                <w:color w:val="000000"/>
                <w:sz w:val="18"/>
                <w:szCs w:val="18"/>
              </w:rPr>
              <w:t>Walter 2018</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387F88A7"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Walter, E., Dellago, H., Grillari, J., Dimai, H. P., &amp; Hackl, M. (2018). Cost-utility analysis of fracture risk assessment using microRNAs compared with standard tools and no monitoring in the Austrian female population. </w:t>
            </w:r>
            <w:r>
              <w:rPr>
                <w:color w:val="000000"/>
                <w:sz w:val="18"/>
                <w:szCs w:val="18"/>
              </w:rPr>
              <w:t>Bone, 108, 44-54</w:t>
            </w:r>
          </w:p>
        </w:tc>
      </w:tr>
      <w:tr w:rsidR="00EA6354" w14:paraId="415432D2"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0EF21FD7" w14:textId="77777777" w:rsidR="00EA6354" w:rsidRPr="00EA6354" w:rsidRDefault="00EA6354" w:rsidP="008A3F1C">
            <w:pPr>
              <w:pStyle w:val="Inne0"/>
              <w:spacing w:after="0"/>
              <w:rPr>
                <w:b/>
                <w:bCs/>
                <w:color w:val="000000"/>
                <w:sz w:val="18"/>
                <w:szCs w:val="18"/>
              </w:rPr>
            </w:pPr>
            <w:r>
              <w:rPr>
                <w:b/>
                <w:bCs/>
                <w:color w:val="000000"/>
                <w:sz w:val="18"/>
                <w:szCs w:val="18"/>
              </w:rPr>
              <w:t>Weaver 2016</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79BC213E"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Weaver, C. M., Alexander, D. D., Boushey, C. J., Dawson-Hughes, B., Lappe, J. M., LeBoff, M. S., ... &amp; Wang, D. D. (2016). Calcium plus vitamin D supplementation and risk of fractures: an updated meta-analysis from the National Osteoporosis Foundation. </w:t>
            </w:r>
            <w:r>
              <w:rPr>
                <w:color w:val="000000"/>
                <w:sz w:val="18"/>
                <w:szCs w:val="18"/>
              </w:rPr>
              <w:t>Osteoporosis International, 27(1), 367-376</w:t>
            </w:r>
          </w:p>
        </w:tc>
      </w:tr>
      <w:tr w:rsidR="00EA6354" w14:paraId="32FE89AA"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562E8053" w14:textId="77777777" w:rsidR="00EA6354" w:rsidRPr="00EA6354" w:rsidRDefault="00EA6354" w:rsidP="008A3F1C">
            <w:pPr>
              <w:pStyle w:val="Inne0"/>
              <w:spacing w:after="0"/>
              <w:rPr>
                <w:b/>
                <w:bCs/>
                <w:color w:val="000000"/>
                <w:sz w:val="18"/>
                <w:szCs w:val="18"/>
              </w:rPr>
            </w:pPr>
            <w:r>
              <w:rPr>
                <w:b/>
                <w:bCs/>
                <w:color w:val="000000"/>
                <w:sz w:val="18"/>
                <w:szCs w:val="18"/>
              </w:rPr>
              <w:t>Wu 2018</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50FDC86B"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Wu, C. H., Kao, I. J., Hung, W. C., Lin, S. C., Liu, H. C., Hsieh, M. H., ... &amp; Yang, R. S. (2018). Economic impact and cost-effectiveness of fracture liaison services: a systematic review of the literature. </w:t>
            </w:r>
            <w:r>
              <w:rPr>
                <w:color w:val="000000"/>
                <w:sz w:val="18"/>
                <w:szCs w:val="18"/>
              </w:rPr>
              <w:t>Osteoporosis International, 1-16</w:t>
            </w:r>
          </w:p>
        </w:tc>
      </w:tr>
      <w:tr w:rsidR="00EA6354" w14:paraId="5F59BE51"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69F3FB99" w14:textId="77777777" w:rsidR="00EA6354" w:rsidRPr="00EA6354" w:rsidRDefault="00EA6354" w:rsidP="008A3F1C">
            <w:pPr>
              <w:pStyle w:val="Inne0"/>
              <w:spacing w:after="0"/>
              <w:rPr>
                <w:b/>
                <w:bCs/>
                <w:color w:val="000000"/>
                <w:sz w:val="18"/>
                <w:szCs w:val="18"/>
              </w:rPr>
            </w:pPr>
            <w:r>
              <w:rPr>
                <w:b/>
                <w:bCs/>
                <w:color w:val="000000"/>
                <w:sz w:val="18"/>
                <w:szCs w:val="18"/>
              </w:rPr>
              <w:t>Xu 2016</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5008094D" w14:textId="77777777" w:rsidR="00EA6354" w:rsidRPr="00EA6354" w:rsidRDefault="00EA6354" w:rsidP="008A3F1C">
            <w:pPr>
              <w:pStyle w:val="Inne0"/>
              <w:spacing w:after="0"/>
              <w:jc w:val="both"/>
              <w:rPr>
                <w:color w:val="000000"/>
                <w:sz w:val="18"/>
                <w:szCs w:val="18"/>
              </w:rPr>
            </w:pPr>
            <w:r>
              <w:rPr>
                <w:color w:val="000000"/>
                <w:sz w:val="18"/>
                <w:szCs w:val="18"/>
              </w:rPr>
              <w:t xml:space="preserve">Xu, J., Lombardi, G., Jiao, W., &amp; Banfi, G. (2016). </w:t>
            </w:r>
            <w:r w:rsidRPr="002201F6">
              <w:rPr>
                <w:color w:val="000000"/>
                <w:sz w:val="18"/>
                <w:szCs w:val="18"/>
                <w:lang w:val="en-US"/>
              </w:rPr>
              <w:t xml:space="preserve">Effects of exercise on bone status in female subjects, from young girls to postmenopausal women: an overview of systematic reviews and meta-analyses. </w:t>
            </w:r>
            <w:r>
              <w:rPr>
                <w:color w:val="000000"/>
                <w:sz w:val="18"/>
                <w:szCs w:val="18"/>
              </w:rPr>
              <w:t>Sports Medicine, 46(8), 1165-1182</w:t>
            </w:r>
          </w:p>
        </w:tc>
      </w:tr>
      <w:tr w:rsidR="00EA6354" w14:paraId="54CDF1DB"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10E7001F" w14:textId="77777777" w:rsidR="00EA6354" w:rsidRPr="00EA6354" w:rsidRDefault="00EA6354" w:rsidP="00EA6354">
            <w:pPr>
              <w:pStyle w:val="Inne0"/>
              <w:spacing w:after="0"/>
              <w:rPr>
                <w:b/>
                <w:bCs/>
                <w:color w:val="000000"/>
                <w:sz w:val="18"/>
                <w:szCs w:val="18"/>
              </w:rPr>
            </w:pPr>
            <w:r>
              <w:rPr>
                <w:b/>
                <w:bCs/>
                <w:color w:val="000000"/>
                <w:sz w:val="18"/>
                <w:szCs w:val="18"/>
              </w:rPr>
              <w:t>AACE/ACE 2016</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8FC5ECF"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Camacho, P. M., Petak, S. M., Binkley, N., Clarke, B. L., Harris, S. T., Hurley, D. L., ... &amp; Pessah-Pollack, R. (2016). American association of clinical endocrinologists and American College of endocrinology clinical practice guidelines for the diagnosis and treatment of postmenopausal osteoporosis—2016. </w:t>
            </w:r>
            <w:r>
              <w:rPr>
                <w:color w:val="000000"/>
                <w:sz w:val="18"/>
                <w:szCs w:val="18"/>
              </w:rPr>
              <w:t>Endocrine Practice, 22(s4), 1-42.</w:t>
            </w:r>
          </w:p>
        </w:tc>
      </w:tr>
      <w:tr w:rsidR="00EA6354" w:rsidRPr="002201F6" w14:paraId="4510F0F6"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7BC44369" w14:textId="77777777" w:rsidR="00EA6354" w:rsidRPr="00EA6354" w:rsidRDefault="00EA6354" w:rsidP="008A3F1C">
            <w:pPr>
              <w:pStyle w:val="Inne0"/>
              <w:spacing w:after="0"/>
              <w:rPr>
                <w:b/>
                <w:bCs/>
                <w:color w:val="000000"/>
                <w:sz w:val="18"/>
                <w:szCs w:val="18"/>
              </w:rPr>
            </w:pPr>
            <w:r>
              <w:rPr>
                <w:b/>
                <w:bCs/>
                <w:color w:val="000000"/>
                <w:sz w:val="18"/>
                <w:szCs w:val="18"/>
              </w:rPr>
              <w:t>ACOG 2012</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335AFFB7" w14:textId="77777777" w:rsidR="00EA6354" w:rsidRPr="002201F6" w:rsidRDefault="00EA6354" w:rsidP="008A3F1C">
            <w:pPr>
              <w:pStyle w:val="Inne0"/>
              <w:spacing w:after="0"/>
              <w:jc w:val="both"/>
              <w:rPr>
                <w:color w:val="000000"/>
                <w:sz w:val="18"/>
                <w:szCs w:val="18"/>
                <w:lang w:val="en-US"/>
              </w:rPr>
            </w:pPr>
            <w:r w:rsidRPr="002201F6">
              <w:rPr>
                <w:color w:val="000000"/>
                <w:sz w:val="18"/>
                <w:szCs w:val="18"/>
                <w:lang w:val="en-US"/>
              </w:rPr>
              <w:t>ACOG (2012). Osteoporosis. ACOG practice bulletin 129.</w:t>
            </w:r>
          </w:p>
        </w:tc>
      </w:tr>
      <w:tr w:rsidR="00EA6354" w14:paraId="5CC7CEE2"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35F8F345" w14:textId="77777777" w:rsidR="00EA6354" w:rsidRPr="00EA6354" w:rsidRDefault="00EA6354" w:rsidP="008A3F1C">
            <w:pPr>
              <w:pStyle w:val="Inne0"/>
              <w:spacing w:after="0"/>
              <w:rPr>
                <w:b/>
                <w:bCs/>
                <w:color w:val="000000"/>
                <w:sz w:val="18"/>
                <w:szCs w:val="18"/>
              </w:rPr>
            </w:pPr>
            <w:r>
              <w:rPr>
                <w:b/>
                <w:bCs/>
                <w:color w:val="000000"/>
                <w:sz w:val="18"/>
                <w:szCs w:val="18"/>
              </w:rPr>
              <w:t>ACP 2017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2A99791B"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Qaseem, A., Forciea, M. A., McLean, R. M., &amp; Denberg, T. D. (2017). Treatment of Low Bone Density or Osteoporosis to Prevent Fractures in Men and Women: A Clinical Practice Guideline Update from the American College of PhysiciansT reatment of Low Bone Density or Osteoporosis to Prevent Fractures in Men and Women. </w:t>
            </w:r>
            <w:r>
              <w:rPr>
                <w:color w:val="000000"/>
                <w:sz w:val="18"/>
                <w:szCs w:val="18"/>
              </w:rPr>
              <w:t>Annals of Internal Medicine.</w:t>
            </w:r>
          </w:p>
        </w:tc>
      </w:tr>
      <w:tr w:rsidR="00EA6354" w14:paraId="41EB0102"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78589847" w14:textId="77777777" w:rsidR="00EA6354" w:rsidRPr="00EA6354" w:rsidRDefault="00EA6354" w:rsidP="008A3F1C">
            <w:pPr>
              <w:pStyle w:val="Inne0"/>
              <w:spacing w:after="0"/>
              <w:rPr>
                <w:b/>
                <w:bCs/>
                <w:color w:val="000000"/>
                <w:sz w:val="18"/>
                <w:szCs w:val="18"/>
              </w:rPr>
            </w:pPr>
            <w:r>
              <w:rPr>
                <w:b/>
                <w:bCs/>
                <w:color w:val="000000"/>
                <w:sz w:val="18"/>
                <w:szCs w:val="18"/>
              </w:rPr>
              <w:t>ACR 2017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79D6D65F"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Ward, R. J., Roberts, C. C., Bencardino, J. T., Arnold, E., Baccei, S. J., Cassidy, R. C., ... &amp; Hochman, M. G. (2017). ACR Appropriateness Criteria® osteoporosis and bone mineral density. </w:t>
            </w:r>
            <w:r>
              <w:rPr>
                <w:color w:val="000000"/>
                <w:sz w:val="18"/>
                <w:szCs w:val="18"/>
              </w:rPr>
              <w:t>Journal of the American College of Radiology, 14(5), S189-S202.</w:t>
            </w:r>
          </w:p>
        </w:tc>
      </w:tr>
      <w:tr w:rsidR="00EA6354" w14:paraId="6FC8D43F"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6F92855C" w14:textId="77777777" w:rsidR="00EA6354" w:rsidRPr="00EA6354" w:rsidRDefault="00EA6354" w:rsidP="00EA6354">
            <w:pPr>
              <w:pStyle w:val="Inne0"/>
              <w:spacing w:after="0"/>
              <w:rPr>
                <w:b/>
                <w:bCs/>
                <w:color w:val="000000"/>
                <w:sz w:val="18"/>
                <w:szCs w:val="18"/>
              </w:rPr>
            </w:pPr>
            <w:r>
              <w:rPr>
                <w:b/>
                <w:bCs/>
                <w:color w:val="000000"/>
                <w:sz w:val="18"/>
                <w:szCs w:val="18"/>
              </w:rPr>
              <w:lastRenderedPageBreak/>
              <w:t>CTFPHC 2010/2013</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6313203E"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CTFPHC (2010/2013). Clinical Practice Guideline for the Diagnosis and Management of Osteoporosis in Canada. </w:t>
            </w:r>
            <w:r>
              <w:rPr>
                <w:color w:val="000000"/>
                <w:sz w:val="18"/>
                <w:szCs w:val="18"/>
              </w:rPr>
              <w:t xml:space="preserve">Pozyskano z: </w:t>
            </w:r>
            <w:hyperlink r:id="rId20" w:history="1">
              <w:r w:rsidRPr="00EA6354">
                <w:rPr>
                  <w:rStyle w:val="Hipercze"/>
                  <w:sz w:val="18"/>
                  <w:szCs w:val="18"/>
                </w:rPr>
                <w:t>https://canadiantaskforce.ca/guidelines/appraised- guidelines/osteoporosis/</w:t>
              </w:r>
            </w:hyperlink>
            <w:r>
              <w:rPr>
                <w:color w:val="000000"/>
                <w:sz w:val="18"/>
                <w:szCs w:val="18"/>
              </w:rPr>
              <w:t>, dostęp z 20.09.2018.</w:t>
            </w:r>
          </w:p>
        </w:tc>
      </w:tr>
      <w:tr w:rsidR="00EA6354" w:rsidRPr="002201F6" w14:paraId="3DE2C176"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225E0B3A" w14:textId="77777777" w:rsidR="00EA6354" w:rsidRPr="00EA6354" w:rsidRDefault="00EA6354" w:rsidP="008A3F1C">
            <w:pPr>
              <w:pStyle w:val="Inne0"/>
              <w:spacing w:after="0"/>
              <w:rPr>
                <w:b/>
                <w:bCs/>
                <w:color w:val="000000"/>
                <w:sz w:val="18"/>
                <w:szCs w:val="18"/>
              </w:rPr>
            </w:pPr>
            <w:r>
              <w:rPr>
                <w:b/>
                <w:bCs/>
                <w:color w:val="000000"/>
                <w:sz w:val="18"/>
                <w:szCs w:val="18"/>
              </w:rPr>
              <w:t>ESC 2012</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CE164C0" w14:textId="77777777" w:rsidR="00EA6354" w:rsidRPr="002201F6" w:rsidRDefault="00EA6354" w:rsidP="008A3F1C">
            <w:pPr>
              <w:pStyle w:val="Inne0"/>
              <w:spacing w:after="0"/>
              <w:jc w:val="both"/>
              <w:rPr>
                <w:color w:val="000000"/>
                <w:sz w:val="18"/>
                <w:szCs w:val="18"/>
                <w:lang w:val="en-US"/>
              </w:rPr>
            </w:pPr>
            <w:r w:rsidRPr="002201F6">
              <w:rPr>
                <w:color w:val="000000"/>
                <w:sz w:val="18"/>
                <w:szCs w:val="18"/>
                <w:lang w:val="en-US"/>
              </w:rPr>
              <w:t>Watts, N. B., Adler, R. A., Bilezikian, J. P., Drake, M. T., Eastell, R., Orwoll, E. S., &amp; Finkelstein, J. S. (2012). Osteoporosis in men: an Endocrine Society clinical practice guideline. The Journal of Clinical Endocrinology &amp; Metabolism, 97(6), 1802-1822.</w:t>
            </w:r>
          </w:p>
        </w:tc>
      </w:tr>
      <w:tr w:rsidR="00EA6354" w14:paraId="14F15DE7"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3F24B00C" w14:textId="77777777" w:rsidR="00EA6354" w:rsidRPr="00EA6354" w:rsidRDefault="00EA6354" w:rsidP="008A3F1C">
            <w:pPr>
              <w:pStyle w:val="Inne0"/>
              <w:spacing w:after="0"/>
              <w:rPr>
                <w:b/>
                <w:bCs/>
                <w:color w:val="000000"/>
                <w:sz w:val="18"/>
                <w:szCs w:val="18"/>
              </w:rPr>
            </w:pPr>
            <w:r>
              <w:rPr>
                <w:b/>
                <w:bCs/>
                <w:color w:val="000000"/>
                <w:sz w:val="18"/>
                <w:szCs w:val="18"/>
              </w:rPr>
              <w:t>ESCEO 2015</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7D829093"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Harvey, N. C., Gluer, C. C., Binkley, N., McCloskey, E. V., Brandi, M. L., Cooper, C., ... &amp; Reginster, J. Y. (2015). Trabecular bone score (TBS) as a new complementary approach for osteoporosis evaluation in clinical practice. </w:t>
            </w:r>
            <w:r>
              <w:rPr>
                <w:color w:val="000000"/>
                <w:sz w:val="18"/>
                <w:szCs w:val="18"/>
              </w:rPr>
              <w:t>Bone, 78, 216-224.</w:t>
            </w:r>
          </w:p>
        </w:tc>
      </w:tr>
      <w:tr w:rsidR="00EA6354" w14:paraId="4766C48D"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0AAC1C32" w14:textId="77777777" w:rsidR="00EA6354" w:rsidRPr="00EA6354" w:rsidRDefault="00EA6354" w:rsidP="00EA6354">
            <w:pPr>
              <w:pStyle w:val="Inne0"/>
              <w:spacing w:after="0"/>
              <w:rPr>
                <w:b/>
                <w:bCs/>
                <w:color w:val="000000"/>
                <w:sz w:val="18"/>
                <w:szCs w:val="18"/>
              </w:rPr>
            </w:pPr>
            <w:r>
              <w:rPr>
                <w:b/>
                <w:bCs/>
                <w:color w:val="000000"/>
                <w:sz w:val="18"/>
                <w:szCs w:val="18"/>
              </w:rPr>
              <w:t>ESCEO/IOF 2013</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7C26343"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Kanis, J. A., McCloskey, E. V., Johansson, H., Cooper, C., Rizzoli, R., &amp; Reginster, J. Y. (2013). European guidance for the diagnosis and management of osteoporosis in postmenopausal women. </w:t>
            </w:r>
            <w:r>
              <w:rPr>
                <w:color w:val="000000"/>
                <w:sz w:val="18"/>
                <w:szCs w:val="18"/>
              </w:rPr>
              <w:t>Osteoporosis international, 24(1), 23-57.</w:t>
            </w:r>
          </w:p>
        </w:tc>
      </w:tr>
      <w:tr w:rsidR="00EA6354" w14:paraId="014ED644"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4C8F2C70" w14:textId="77777777" w:rsidR="00EA6354" w:rsidRPr="00EA6354" w:rsidRDefault="00EA6354" w:rsidP="00EA6354">
            <w:pPr>
              <w:pStyle w:val="Inne0"/>
              <w:spacing w:after="0"/>
              <w:rPr>
                <w:b/>
                <w:bCs/>
                <w:color w:val="000000"/>
                <w:sz w:val="18"/>
                <w:szCs w:val="18"/>
              </w:rPr>
            </w:pPr>
            <w:r>
              <w:rPr>
                <w:b/>
                <w:bCs/>
                <w:color w:val="000000"/>
                <w:sz w:val="18"/>
                <w:szCs w:val="18"/>
              </w:rPr>
              <w:t>EULAR/ EFFORT 2016</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2BA8AF03" w14:textId="77777777" w:rsidR="00EA6354" w:rsidRPr="00EA6354" w:rsidRDefault="00EA6354" w:rsidP="008A3F1C">
            <w:pPr>
              <w:pStyle w:val="Inne0"/>
              <w:spacing w:after="0"/>
              <w:jc w:val="both"/>
              <w:rPr>
                <w:color w:val="000000"/>
                <w:sz w:val="18"/>
                <w:szCs w:val="18"/>
              </w:rPr>
            </w:pPr>
            <w:r>
              <w:rPr>
                <w:color w:val="000000"/>
                <w:sz w:val="18"/>
                <w:szCs w:val="18"/>
              </w:rPr>
              <w:t xml:space="preserve">Lems, W. F., Dreinhofer, K. E., Bischoff-Ferrari, H., Blauth, M., Czerwinski, E., da Silva, J. A. P., ... &amp; Marsh, D. (2016). </w:t>
            </w:r>
            <w:r w:rsidRPr="002201F6">
              <w:rPr>
                <w:color w:val="000000"/>
                <w:sz w:val="18"/>
                <w:szCs w:val="18"/>
                <w:lang w:val="en-US"/>
              </w:rPr>
              <w:t xml:space="preserve">EULAR/EFORT recommendations for management of patients older than 50 years with a fragility fracture and prevention of subsequent fractures. </w:t>
            </w:r>
            <w:r>
              <w:rPr>
                <w:color w:val="000000"/>
                <w:sz w:val="18"/>
                <w:szCs w:val="18"/>
              </w:rPr>
              <w:t>Annals of the rheumatic diseases, annrheumdis-2016.</w:t>
            </w:r>
          </w:p>
        </w:tc>
      </w:tr>
      <w:tr w:rsidR="00EA6354" w14:paraId="0B5F2C8F"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487EAFD1" w14:textId="77777777" w:rsidR="00EA6354" w:rsidRPr="00EA6354" w:rsidRDefault="00EA6354" w:rsidP="008A3F1C">
            <w:pPr>
              <w:pStyle w:val="Inne0"/>
              <w:spacing w:after="0"/>
              <w:rPr>
                <w:b/>
                <w:bCs/>
                <w:color w:val="000000"/>
                <w:sz w:val="18"/>
                <w:szCs w:val="18"/>
              </w:rPr>
            </w:pPr>
            <w:r>
              <w:rPr>
                <w:b/>
                <w:bCs/>
                <w:color w:val="000000"/>
                <w:sz w:val="18"/>
                <w:szCs w:val="18"/>
              </w:rPr>
              <w:t>ICSI 2017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3F2BB8D9"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Allen S., Forney-Gorman A., Homan M., Kearns A., Kramlinger A., Sauer M. (2017). Institute for Clinical Systems Improvement. Diagnosis and Treatment of Osteoporosis. </w:t>
            </w:r>
            <w:r>
              <w:rPr>
                <w:color w:val="000000"/>
                <w:sz w:val="18"/>
                <w:szCs w:val="18"/>
              </w:rPr>
              <w:t>Updated July 2017.</w:t>
            </w:r>
          </w:p>
        </w:tc>
      </w:tr>
      <w:tr w:rsidR="00EA6354" w14:paraId="04BD924F"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5D3D279D" w14:textId="77777777" w:rsidR="00EA6354" w:rsidRPr="00EA6354" w:rsidRDefault="00EA6354" w:rsidP="008A3F1C">
            <w:pPr>
              <w:pStyle w:val="Inne0"/>
              <w:spacing w:after="0"/>
              <w:rPr>
                <w:b/>
                <w:bCs/>
                <w:color w:val="000000"/>
                <w:sz w:val="18"/>
                <w:szCs w:val="18"/>
              </w:rPr>
            </w:pPr>
            <w:r>
              <w:rPr>
                <w:b/>
                <w:bCs/>
                <w:color w:val="000000"/>
                <w:sz w:val="18"/>
                <w:szCs w:val="18"/>
              </w:rPr>
              <w:t>ISCD 2015</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E259EAF" w14:textId="77777777" w:rsidR="00EA6354" w:rsidRPr="002201F6" w:rsidRDefault="00EA6354" w:rsidP="00EA6354">
            <w:pPr>
              <w:pStyle w:val="Inne0"/>
              <w:spacing w:after="0"/>
              <w:jc w:val="both"/>
              <w:rPr>
                <w:color w:val="000000"/>
                <w:sz w:val="18"/>
                <w:szCs w:val="18"/>
                <w:lang w:val="en-US"/>
              </w:rPr>
            </w:pPr>
            <w:r w:rsidRPr="002201F6">
              <w:rPr>
                <w:color w:val="000000"/>
                <w:sz w:val="18"/>
                <w:szCs w:val="18"/>
                <w:lang w:val="en-US"/>
              </w:rPr>
              <w:t>Engelke, K., Lang, T., Khosla, S., Qin, L., Zysset, P., Leslie, W. D., ... Schousboe, J. T. (2015). Clinical Use of Quantitative Computed Tomography (QCT) of the Hip in the Management of Osteoporosis in Adults: the 2015 ISCD Official Positions—Part I. Journal of Clinical Densitometry, 18(3),</w:t>
            </w:r>
            <w:r w:rsidRPr="002201F6">
              <w:rPr>
                <w:color w:val="000000"/>
                <w:sz w:val="18"/>
                <w:szCs w:val="18"/>
                <w:lang w:val="en-US"/>
              </w:rPr>
              <w:tab/>
              <w:t>338-358; Zysset, P., Qin, L., Lang, T., Khosla, S., Leslie, W. D.,</w:t>
            </w:r>
          </w:p>
          <w:p w14:paraId="54456196"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Shepherd, J. A., ... Engelke, K. (2015). Clinical Use of Quantitative Computed Tomography- Based Finite Element Analysis of the Hip and Spine in the Management of Osteoporosis in Adults: the 2015 ISCD Official Positions—Part II. </w:t>
            </w:r>
            <w:r>
              <w:rPr>
                <w:color w:val="000000"/>
                <w:sz w:val="18"/>
                <w:szCs w:val="18"/>
              </w:rPr>
              <w:t>Journal of Clinical Densitometry, 18(3), 359</w:t>
            </w:r>
            <w:r>
              <w:rPr>
                <w:color w:val="000000"/>
                <w:sz w:val="18"/>
                <w:szCs w:val="18"/>
              </w:rPr>
              <w:softHyphen/>
              <w:t>392.</w:t>
            </w:r>
          </w:p>
        </w:tc>
      </w:tr>
      <w:tr w:rsidR="00EA6354" w14:paraId="775A8D0B"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77A299DE" w14:textId="77777777" w:rsidR="00EA6354" w:rsidRPr="00EA6354" w:rsidRDefault="00EA6354" w:rsidP="008A3F1C">
            <w:pPr>
              <w:pStyle w:val="Inne0"/>
              <w:spacing w:after="0"/>
              <w:rPr>
                <w:b/>
                <w:bCs/>
                <w:color w:val="000000"/>
                <w:sz w:val="18"/>
                <w:szCs w:val="18"/>
              </w:rPr>
            </w:pPr>
            <w:r>
              <w:rPr>
                <w:b/>
                <w:bCs/>
                <w:color w:val="000000"/>
                <w:sz w:val="18"/>
                <w:szCs w:val="18"/>
              </w:rPr>
              <w:t>ISCD/IOF 2011</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33F5CA31"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Blank, R. D. (2011). Official Positions for FRAX® Clinical Regarding Prior Fractures. Journal of Clinical Densitometry, 14(3), 205-211; Cauley, J. A., El-Hajj Fuleihan, G., Arabi, A., Fujiwara, S., Ragi-Eis, S., Calderon, A., ... Luckey, M. (20l1). Official Positions for FrAx® Clinical Regarding International Differences. Journal of Clinical Densitometry, 14(3), 240-262; Lewiecki, E. M., Compston, J. E., Miller, P. D., Adachi, J. D., Adams, J. E., Leslie, W. D., ... Khan, A. A. (2011). Official Positions for FRAX® Bone Mineral Density and FRAX® Simplification. Journal of Clinical Densitometry, 14(3), 226-236; Hans, D. B., Kanis, J. A., Baim, S., Bilezikian, J. P., Binkley, N., Cauley, J. A., ... Rizzoli, R. (2011). Joint Official Positions of the International Society for Clinical Densitometry and International Osteoporosis Foundation on FRAX®. </w:t>
            </w:r>
            <w:r>
              <w:rPr>
                <w:color w:val="000000"/>
                <w:sz w:val="18"/>
                <w:szCs w:val="18"/>
              </w:rPr>
              <w:t>Journal of Clinical Densitometry, 14(3), 171-180.</w:t>
            </w:r>
          </w:p>
        </w:tc>
      </w:tr>
      <w:tr w:rsidR="00EA6354" w14:paraId="2C406BB4"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67E1D7A1" w14:textId="77777777" w:rsidR="00EA6354" w:rsidRPr="00EA6354" w:rsidRDefault="00EA6354" w:rsidP="008A3F1C">
            <w:pPr>
              <w:pStyle w:val="Inne0"/>
              <w:spacing w:after="0"/>
              <w:rPr>
                <w:b/>
                <w:bCs/>
                <w:color w:val="000000"/>
                <w:sz w:val="18"/>
                <w:szCs w:val="18"/>
              </w:rPr>
            </w:pPr>
            <w:r>
              <w:rPr>
                <w:b/>
                <w:bCs/>
                <w:color w:val="000000"/>
                <w:sz w:val="18"/>
                <w:szCs w:val="18"/>
              </w:rPr>
              <w:t>MCG 2016</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5E1A2669"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Yeap, S. S., Hew, F. L., Damodaran, P., Chee, W., Lee, J. K., Goh, E. M. L., ... &amp; Chan, S. P. (2016). A summary of the Malaysian Clinical Guidance on the management of postmenopausal and male osteoporosis, 2015. </w:t>
            </w:r>
            <w:r>
              <w:rPr>
                <w:color w:val="000000"/>
                <w:sz w:val="18"/>
                <w:szCs w:val="18"/>
              </w:rPr>
              <w:t>Osteoporosis and Sarcopenia, 2(1), 1-12.</w:t>
            </w:r>
          </w:p>
        </w:tc>
      </w:tr>
      <w:tr w:rsidR="00EA6354" w14:paraId="0DF45469"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3E709EE6" w14:textId="77777777" w:rsidR="00EA6354" w:rsidRPr="00EA6354" w:rsidRDefault="00EA6354" w:rsidP="008A3F1C">
            <w:pPr>
              <w:pStyle w:val="Inne0"/>
              <w:spacing w:after="0"/>
              <w:rPr>
                <w:b/>
                <w:bCs/>
                <w:color w:val="000000"/>
                <w:sz w:val="18"/>
                <w:szCs w:val="18"/>
              </w:rPr>
            </w:pPr>
            <w:r>
              <w:rPr>
                <w:b/>
                <w:bCs/>
                <w:color w:val="000000"/>
                <w:sz w:val="18"/>
                <w:szCs w:val="18"/>
              </w:rPr>
              <w:t>NICE 2017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18CB47A"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NICE (2017). Assessing the risk of fragility fractures. </w:t>
            </w:r>
            <w:r>
              <w:rPr>
                <w:color w:val="000000"/>
                <w:sz w:val="18"/>
                <w:szCs w:val="18"/>
              </w:rPr>
              <w:t>NICE 146.</w:t>
            </w:r>
          </w:p>
        </w:tc>
      </w:tr>
      <w:tr w:rsidR="00EA6354" w14:paraId="18581807"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7156FA70" w14:textId="77777777" w:rsidR="00EA6354" w:rsidRPr="00EA6354" w:rsidRDefault="00EA6354" w:rsidP="008A3F1C">
            <w:pPr>
              <w:pStyle w:val="Inne0"/>
              <w:spacing w:after="0"/>
              <w:rPr>
                <w:b/>
                <w:bCs/>
                <w:color w:val="000000"/>
                <w:sz w:val="18"/>
                <w:szCs w:val="18"/>
              </w:rPr>
            </w:pPr>
            <w:r>
              <w:rPr>
                <w:b/>
                <w:bCs/>
                <w:color w:val="000000"/>
                <w:sz w:val="18"/>
                <w:szCs w:val="18"/>
              </w:rPr>
              <w:t>NOGG 2017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30D28C2B"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Compston, J., Cooper, A., Cooper, C., Gittoes, N., Gregson, C., Harvey, N., ... &amp; Reid, D. M. (2017). UK clinical guideline for the prevention and treatment of osteoporosis. Archives of osteoporosis, 12(1), 43; Compston, J., Bowring, C., Cooper, A., Cooper, C., Davies, C., Francis, R., ... &amp; Selby, P. (2013). Diagnosis and management of osteoporosis in postmenopausal women and older men in the UK: National Osteoporosis Guideline Group (NOGG) update 2013. </w:t>
            </w:r>
            <w:r>
              <w:rPr>
                <w:color w:val="000000"/>
                <w:sz w:val="18"/>
                <w:szCs w:val="18"/>
              </w:rPr>
              <w:t>Maturitas, 75(4), 392-396.</w:t>
            </w:r>
          </w:p>
        </w:tc>
      </w:tr>
      <w:tr w:rsidR="00EA6354" w14:paraId="5C7FB205"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069E862F" w14:textId="77777777" w:rsidR="00EA6354" w:rsidRPr="00EA6354" w:rsidRDefault="00EA6354" w:rsidP="008A3F1C">
            <w:pPr>
              <w:pStyle w:val="Inne0"/>
              <w:spacing w:after="0"/>
              <w:rPr>
                <w:b/>
                <w:bCs/>
                <w:color w:val="000000"/>
                <w:sz w:val="18"/>
                <w:szCs w:val="18"/>
              </w:rPr>
            </w:pPr>
            <w:r>
              <w:rPr>
                <w:b/>
                <w:bCs/>
                <w:color w:val="000000"/>
                <w:sz w:val="18"/>
                <w:szCs w:val="18"/>
              </w:rPr>
              <w:t>NOS 2014</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A8E710D" w14:textId="77777777" w:rsidR="00EA6354" w:rsidRPr="002201F6" w:rsidRDefault="00EA6354" w:rsidP="008A3F1C">
            <w:pPr>
              <w:pStyle w:val="Inne0"/>
              <w:spacing w:after="0"/>
              <w:jc w:val="both"/>
              <w:rPr>
                <w:color w:val="000000"/>
                <w:sz w:val="18"/>
                <w:szCs w:val="18"/>
                <w:lang w:val="en-US"/>
              </w:rPr>
            </w:pPr>
            <w:r w:rsidRPr="002201F6">
              <w:rPr>
                <w:color w:val="000000"/>
                <w:sz w:val="18"/>
                <w:szCs w:val="18"/>
                <w:lang w:val="en-US"/>
              </w:rPr>
              <w:t>Aspray, T. J., Bowring, C., Fraser, W., Gittoes, N., Javaid, M. K., Macdonald, H., ... &amp; Francis,</w:t>
            </w:r>
          </w:p>
          <w:p w14:paraId="1593A723"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R. M. (2014). National osteoporosis society vitamin D guideline summary. </w:t>
            </w:r>
            <w:r>
              <w:rPr>
                <w:color w:val="000000"/>
                <w:sz w:val="18"/>
                <w:szCs w:val="18"/>
              </w:rPr>
              <w:t>Age and ageing, 43(5), 592-595.</w:t>
            </w:r>
          </w:p>
        </w:tc>
      </w:tr>
      <w:tr w:rsidR="00EA6354" w:rsidRPr="002201F6" w14:paraId="1E4B1F5C"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29DD4E86" w14:textId="77777777" w:rsidR="00EA6354" w:rsidRPr="00EA6354" w:rsidRDefault="00EA6354" w:rsidP="008A3F1C">
            <w:pPr>
              <w:pStyle w:val="Inne0"/>
              <w:spacing w:after="0"/>
              <w:rPr>
                <w:b/>
                <w:bCs/>
                <w:color w:val="000000"/>
                <w:sz w:val="18"/>
                <w:szCs w:val="18"/>
              </w:rPr>
            </w:pPr>
            <w:r>
              <w:rPr>
                <w:b/>
                <w:bCs/>
                <w:color w:val="000000"/>
                <w:sz w:val="18"/>
                <w:szCs w:val="18"/>
              </w:rPr>
              <w:t>OC 2010, 2015</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2A1A22F4" w14:textId="77777777" w:rsidR="00EA6354" w:rsidRPr="002201F6" w:rsidRDefault="00EA6354" w:rsidP="00EA6354">
            <w:pPr>
              <w:pStyle w:val="Inne0"/>
              <w:spacing w:after="0"/>
              <w:jc w:val="both"/>
              <w:rPr>
                <w:color w:val="000000"/>
                <w:sz w:val="18"/>
                <w:szCs w:val="18"/>
                <w:lang w:val="en-US"/>
              </w:rPr>
            </w:pPr>
            <w:r w:rsidRPr="002201F6">
              <w:rPr>
                <w:color w:val="000000"/>
                <w:sz w:val="18"/>
                <w:szCs w:val="18"/>
                <w:lang w:val="en-US"/>
              </w:rPr>
              <w:t>Papaioannou, A., Santesso, N., Morin, S. N., Feldman, S., Adachi, J. D., Crilly, R., ... &amp; Katz, P. (2015). Recommendations for preventing fracture in long-term care. Canadian Medical Association Journal, 187(15),</w:t>
            </w:r>
            <w:r w:rsidRPr="002201F6">
              <w:rPr>
                <w:color w:val="000000"/>
                <w:sz w:val="18"/>
                <w:szCs w:val="18"/>
                <w:lang w:val="en-US"/>
              </w:rPr>
              <w:tab/>
              <w:t>1135-1144; Papaioannou, A., Morin, S., Cheung, A. M.,</w:t>
            </w:r>
          </w:p>
          <w:p w14:paraId="47BBADED" w14:textId="77777777" w:rsidR="00EA6354" w:rsidRPr="002201F6" w:rsidRDefault="00EA6354" w:rsidP="00EA6354">
            <w:pPr>
              <w:pStyle w:val="Inne0"/>
              <w:spacing w:after="0"/>
              <w:jc w:val="both"/>
              <w:rPr>
                <w:color w:val="000000"/>
                <w:sz w:val="18"/>
                <w:szCs w:val="18"/>
                <w:lang w:val="en-US"/>
              </w:rPr>
            </w:pPr>
            <w:r w:rsidRPr="002201F6">
              <w:rPr>
                <w:color w:val="000000"/>
                <w:sz w:val="18"/>
                <w:szCs w:val="18"/>
                <w:lang w:val="en-US"/>
              </w:rPr>
              <w:t>Atkinson, S., Brown, J. P., Feldman, S., ... &amp; Kvern, B. (2010). 2010 clinical practice guidelines for the diagnosis and management of osteoporosis in Canada: summary. Canadian Medical Association Journal, 182(17), 1864-1873; Lentle, B., Cheung, A. M., Hanley, D. A., Leslie, W. D., Lyons, D., Papaioannou, A.,</w:t>
            </w:r>
            <w:r w:rsidRPr="002201F6">
              <w:rPr>
                <w:color w:val="000000"/>
                <w:sz w:val="18"/>
                <w:szCs w:val="18"/>
                <w:lang w:val="en-US"/>
              </w:rPr>
              <w:tab/>
              <w:t>... Siminoski, K. (2011). Osteoporosis Canada 2010</w:t>
            </w:r>
          </w:p>
          <w:p w14:paraId="060C3B49" w14:textId="77777777" w:rsidR="00EA6354" w:rsidRPr="002201F6" w:rsidRDefault="00EA6354" w:rsidP="008A3F1C">
            <w:pPr>
              <w:pStyle w:val="Inne0"/>
              <w:spacing w:after="0"/>
              <w:jc w:val="both"/>
              <w:rPr>
                <w:color w:val="000000"/>
                <w:sz w:val="18"/>
                <w:szCs w:val="18"/>
                <w:lang w:val="en-US"/>
              </w:rPr>
            </w:pPr>
            <w:r w:rsidRPr="002201F6">
              <w:rPr>
                <w:color w:val="000000"/>
                <w:sz w:val="18"/>
                <w:szCs w:val="18"/>
                <w:lang w:val="en-US"/>
              </w:rPr>
              <w:t>Guidelines for the Assessment of Fracture Risk. Canadian Association of Radiologists Journal, 62(4), 243-250.</w:t>
            </w:r>
          </w:p>
        </w:tc>
      </w:tr>
      <w:tr w:rsidR="00EA6354" w14:paraId="50D88409"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42FEDCF8" w14:textId="77777777" w:rsidR="00EA6354" w:rsidRPr="00EA6354" w:rsidRDefault="00EA6354" w:rsidP="008A3F1C">
            <w:pPr>
              <w:pStyle w:val="Inne0"/>
              <w:spacing w:after="0"/>
              <w:rPr>
                <w:b/>
                <w:bCs/>
                <w:color w:val="000000"/>
                <w:sz w:val="18"/>
                <w:szCs w:val="18"/>
              </w:rPr>
            </w:pPr>
            <w:r>
              <w:rPr>
                <w:b/>
                <w:bCs/>
                <w:color w:val="000000"/>
                <w:sz w:val="18"/>
                <w:szCs w:val="18"/>
              </w:rPr>
              <w:t>RACGP 2017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466FFA0C"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The Royal Australian College of General Practitioners and Osteoporosis Australia (2017). Osteoporosis prevention, diagnosis and management in postmenopausal women and men over 50 years of age. 2nd edn. </w:t>
            </w:r>
            <w:r>
              <w:rPr>
                <w:color w:val="000000"/>
                <w:sz w:val="18"/>
                <w:szCs w:val="18"/>
              </w:rPr>
              <w:t>East Melbourne, Vic: RACGP.</w:t>
            </w:r>
          </w:p>
        </w:tc>
      </w:tr>
      <w:tr w:rsidR="00EA6354" w14:paraId="0771ECA3"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1D4E39C5" w14:textId="77777777" w:rsidR="00EA6354" w:rsidRPr="00EA6354" w:rsidRDefault="00EA6354" w:rsidP="008A3F1C">
            <w:pPr>
              <w:pStyle w:val="Inne0"/>
              <w:spacing w:after="0"/>
              <w:rPr>
                <w:b/>
                <w:bCs/>
                <w:color w:val="000000"/>
                <w:sz w:val="18"/>
                <w:szCs w:val="18"/>
              </w:rPr>
            </w:pPr>
            <w:r>
              <w:rPr>
                <w:b/>
                <w:bCs/>
                <w:color w:val="000000"/>
                <w:sz w:val="18"/>
                <w:szCs w:val="18"/>
              </w:rPr>
              <w:t>SIGN 2015</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5D0AEEA4"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SIGN (2015). Management of osteoporosis and the prevention of fragility fractures. </w:t>
            </w:r>
            <w:r>
              <w:rPr>
                <w:color w:val="000000"/>
                <w:sz w:val="18"/>
                <w:szCs w:val="18"/>
              </w:rPr>
              <w:t>SIGN 142.</w:t>
            </w:r>
          </w:p>
        </w:tc>
      </w:tr>
      <w:tr w:rsidR="00EA6354" w14:paraId="0CDBEEF7"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3741CBA9" w14:textId="77777777" w:rsidR="00EA6354" w:rsidRPr="00EA6354" w:rsidRDefault="00EA6354" w:rsidP="00EA6354">
            <w:pPr>
              <w:pStyle w:val="Inne0"/>
              <w:spacing w:after="0"/>
              <w:rPr>
                <w:b/>
                <w:bCs/>
                <w:color w:val="000000"/>
                <w:sz w:val="18"/>
                <w:szCs w:val="18"/>
              </w:rPr>
            </w:pPr>
            <w:r>
              <w:rPr>
                <w:b/>
                <w:bCs/>
                <w:color w:val="000000"/>
                <w:sz w:val="18"/>
                <w:szCs w:val="18"/>
              </w:rPr>
              <w:t>SIOMMMS 2016</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722EEA35"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Rossini, M., Adami, S., Bertoldo, F., Diacinti, D., Gatti, D., Giannini, S., ... &amp; Pedrazzoni, M. (2016). Guidelines for the diagnosis, prevention and management of osteoporosis. </w:t>
            </w:r>
            <w:r>
              <w:rPr>
                <w:color w:val="000000"/>
                <w:sz w:val="18"/>
                <w:szCs w:val="18"/>
              </w:rPr>
              <w:t>Reumatismo, 68(1), 1-39.</w:t>
            </w:r>
          </w:p>
        </w:tc>
      </w:tr>
      <w:tr w:rsidR="00EA6354" w14:paraId="3A7F02C3"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6C6B2902" w14:textId="77777777" w:rsidR="00EA6354" w:rsidRPr="00EA6354" w:rsidRDefault="00EA6354" w:rsidP="008A3F1C">
            <w:pPr>
              <w:pStyle w:val="Inne0"/>
              <w:spacing w:after="0"/>
              <w:rPr>
                <w:b/>
                <w:bCs/>
                <w:color w:val="000000"/>
                <w:sz w:val="18"/>
                <w:szCs w:val="18"/>
              </w:rPr>
            </w:pPr>
            <w:r>
              <w:rPr>
                <w:b/>
                <w:bCs/>
                <w:color w:val="000000"/>
                <w:sz w:val="18"/>
                <w:szCs w:val="18"/>
              </w:rPr>
              <w:t>SMS 2013</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6611232A"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Mendoza, N., Sanchez-Borrego, R., Villero, J., Baró, F., Calaf, J., Cancelo, M. J., ... &amp; Llaneza, P. (2013). 2013 Up-date of the consensus statement of the Spanish Menopause Society on postmenopausal osteoporosis. </w:t>
            </w:r>
            <w:r>
              <w:rPr>
                <w:color w:val="000000"/>
                <w:sz w:val="18"/>
                <w:szCs w:val="18"/>
              </w:rPr>
              <w:t>Maturitas, 76(1), 99-107.</w:t>
            </w:r>
          </w:p>
        </w:tc>
      </w:tr>
      <w:tr w:rsidR="00EA6354" w:rsidRPr="002201F6" w14:paraId="5107B8B7"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3599BA06" w14:textId="77777777" w:rsidR="00EA6354" w:rsidRPr="00EA6354" w:rsidRDefault="00EA6354" w:rsidP="008A3F1C">
            <w:pPr>
              <w:pStyle w:val="Inne0"/>
              <w:spacing w:after="0"/>
              <w:rPr>
                <w:b/>
                <w:bCs/>
                <w:color w:val="000000"/>
                <w:sz w:val="18"/>
                <w:szCs w:val="18"/>
              </w:rPr>
            </w:pPr>
            <w:r>
              <w:rPr>
                <w:b/>
                <w:bCs/>
                <w:color w:val="000000"/>
                <w:sz w:val="18"/>
                <w:szCs w:val="18"/>
              </w:rPr>
              <w:t>SOGC 2014</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65824115" w14:textId="77777777" w:rsidR="00EA6354" w:rsidRPr="002201F6" w:rsidRDefault="00EA6354" w:rsidP="008A3F1C">
            <w:pPr>
              <w:pStyle w:val="Inne0"/>
              <w:spacing w:after="0"/>
              <w:jc w:val="both"/>
              <w:rPr>
                <w:color w:val="000000"/>
                <w:sz w:val="18"/>
                <w:szCs w:val="18"/>
                <w:lang w:val="en-US"/>
              </w:rPr>
            </w:pPr>
            <w:r w:rsidRPr="002201F6">
              <w:rPr>
                <w:color w:val="000000"/>
                <w:sz w:val="18"/>
                <w:szCs w:val="18"/>
                <w:lang w:val="en-US"/>
              </w:rPr>
              <w:t>Khan A., Foriter M. Osteoporosis in menopause. SOGC Clinical Practice Guideline. (2014). J Obstet Gynaecol Can, 36(9):839-840</w:t>
            </w:r>
          </w:p>
        </w:tc>
      </w:tr>
      <w:tr w:rsidR="00EA6354" w14:paraId="4FDB2663"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30462883" w14:textId="77777777" w:rsidR="00EA6354" w:rsidRPr="00EA6354" w:rsidRDefault="00EA6354" w:rsidP="008A3F1C">
            <w:pPr>
              <w:pStyle w:val="Inne0"/>
              <w:spacing w:after="0"/>
              <w:rPr>
                <w:b/>
                <w:bCs/>
                <w:color w:val="000000"/>
                <w:sz w:val="18"/>
                <w:szCs w:val="18"/>
              </w:rPr>
            </w:pPr>
            <w:r>
              <w:rPr>
                <w:b/>
                <w:bCs/>
                <w:color w:val="000000"/>
                <w:sz w:val="18"/>
                <w:szCs w:val="18"/>
              </w:rPr>
              <w:t>UK NSC 2013</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E8CEFE0"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UK NSC (2013). The UK NSC recommendation on Osteoporosis screening in women after the menopause. </w:t>
            </w:r>
            <w:r>
              <w:rPr>
                <w:color w:val="000000"/>
                <w:sz w:val="18"/>
                <w:szCs w:val="18"/>
              </w:rPr>
              <w:t xml:space="preserve">Pozyskano z: </w:t>
            </w:r>
            <w:hyperlink r:id="rId21" w:history="1">
              <w:r w:rsidRPr="00EA6354">
                <w:rPr>
                  <w:rStyle w:val="Hipercze"/>
                  <w:sz w:val="18"/>
                  <w:szCs w:val="18"/>
                </w:rPr>
                <w:t>https://legacyscreening.phe.org.uk/osteoporosis</w:t>
              </w:r>
            </w:hyperlink>
            <w:r>
              <w:rPr>
                <w:color w:val="000000"/>
                <w:sz w:val="18"/>
                <w:szCs w:val="18"/>
              </w:rPr>
              <w:t>, dostęp z 12.09.2018.</w:t>
            </w:r>
          </w:p>
        </w:tc>
      </w:tr>
      <w:tr w:rsidR="00EA6354" w:rsidRPr="002201F6" w14:paraId="56EEB342"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255C7EC8" w14:textId="77777777" w:rsidR="00EA6354" w:rsidRPr="00EA6354" w:rsidRDefault="00EA6354" w:rsidP="008A3F1C">
            <w:pPr>
              <w:pStyle w:val="Inne0"/>
              <w:spacing w:after="0"/>
              <w:rPr>
                <w:b/>
                <w:bCs/>
                <w:color w:val="000000"/>
                <w:sz w:val="18"/>
                <w:szCs w:val="18"/>
              </w:rPr>
            </w:pPr>
            <w:r>
              <w:rPr>
                <w:b/>
                <w:bCs/>
                <w:color w:val="000000"/>
                <w:sz w:val="18"/>
                <w:szCs w:val="18"/>
              </w:rPr>
              <w:lastRenderedPageBreak/>
              <w:t>USPSTF 2018a</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687877D3" w14:textId="77777777" w:rsidR="00EA6354" w:rsidRPr="002201F6" w:rsidRDefault="00EA6354" w:rsidP="00EA6354">
            <w:pPr>
              <w:pStyle w:val="Inne0"/>
              <w:spacing w:after="0"/>
              <w:jc w:val="both"/>
              <w:rPr>
                <w:color w:val="000000"/>
                <w:sz w:val="18"/>
                <w:szCs w:val="18"/>
                <w:lang w:val="en-US"/>
              </w:rPr>
            </w:pPr>
            <w:r w:rsidRPr="002201F6">
              <w:rPr>
                <w:color w:val="000000"/>
                <w:sz w:val="18"/>
                <w:szCs w:val="18"/>
                <w:lang w:val="en-US"/>
              </w:rPr>
              <w:t>USPSTF (2018). Final Recommendation Statement. Osteoporosis to Prevent Fractures: Screening.</w:t>
            </w:r>
            <w:r w:rsidRPr="002201F6">
              <w:rPr>
                <w:color w:val="000000"/>
                <w:sz w:val="18"/>
                <w:szCs w:val="18"/>
                <w:lang w:val="en-US"/>
              </w:rPr>
              <w:tab/>
              <w:t>Pozyskano</w:t>
            </w:r>
            <w:r w:rsidRPr="002201F6">
              <w:rPr>
                <w:color w:val="000000"/>
                <w:sz w:val="18"/>
                <w:szCs w:val="18"/>
                <w:lang w:val="en-US"/>
              </w:rPr>
              <w:tab/>
              <w:t>z:</w:t>
            </w:r>
          </w:p>
          <w:p w14:paraId="7099CA31" w14:textId="77777777" w:rsidR="00EA6354" w:rsidRPr="002201F6" w:rsidRDefault="00D12AD3" w:rsidP="008A3F1C">
            <w:pPr>
              <w:pStyle w:val="Inne0"/>
              <w:spacing w:after="0"/>
              <w:jc w:val="both"/>
              <w:rPr>
                <w:color w:val="000000"/>
                <w:sz w:val="18"/>
                <w:szCs w:val="18"/>
                <w:lang w:val="en-US"/>
              </w:rPr>
            </w:pPr>
            <w:hyperlink r:id="rId22" w:history="1">
              <w:r w:rsidR="00EA6354" w:rsidRPr="002201F6">
                <w:rPr>
                  <w:rStyle w:val="Hipercze"/>
                  <w:sz w:val="18"/>
                  <w:szCs w:val="18"/>
                  <w:lang w:val="en-US"/>
                </w:rPr>
                <w:t>https://www.uspreventiveservicestaskforce.org/Page/Document/RecommendationStatement</w:t>
              </w:r>
            </w:hyperlink>
            <w:r w:rsidR="00EA6354" w:rsidRPr="002201F6">
              <w:rPr>
                <w:color w:val="000000"/>
                <w:sz w:val="18"/>
                <w:szCs w:val="18"/>
                <w:lang w:val="en-US"/>
              </w:rPr>
              <w:t xml:space="preserve"> Final/osteoporosis-screeningl, dostęp z 29.08.2018.</w:t>
            </w:r>
          </w:p>
        </w:tc>
      </w:tr>
      <w:tr w:rsidR="00EA6354" w:rsidRPr="002201F6" w14:paraId="2D712982"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1E5FD5C0" w14:textId="77777777" w:rsidR="00EA6354" w:rsidRPr="00EA6354" w:rsidRDefault="00EA6354" w:rsidP="00EA6354">
            <w:pPr>
              <w:pStyle w:val="Inne0"/>
              <w:spacing w:after="0"/>
              <w:rPr>
                <w:b/>
                <w:bCs/>
                <w:color w:val="000000"/>
                <w:sz w:val="18"/>
                <w:szCs w:val="18"/>
              </w:rPr>
            </w:pPr>
            <w:r>
              <w:rPr>
                <w:b/>
                <w:bCs/>
                <w:color w:val="000000"/>
                <w:sz w:val="18"/>
                <w:szCs w:val="18"/>
              </w:rPr>
              <w:t>USPSTF 2018b</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5D97FA5E" w14:textId="77777777" w:rsidR="00EA6354" w:rsidRPr="002201F6" w:rsidRDefault="00EA6354" w:rsidP="00EA6354">
            <w:pPr>
              <w:pStyle w:val="Inne0"/>
              <w:spacing w:after="0"/>
              <w:jc w:val="both"/>
              <w:rPr>
                <w:color w:val="000000"/>
                <w:sz w:val="18"/>
                <w:szCs w:val="18"/>
                <w:lang w:val="en-US"/>
              </w:rPr>
            </w:pPr>
            <w:r w:rsidRPr="002201F6">
              <w:rPr>
                <w:color w:val="000000"/>
                <w:sz w:val="18"/>
                <w:szCs w:val="18"/>
                <w:lang w:val="en-US"/>
              </w:rPr>
              <w:t>USPSTF (2018). Final Recommendation Statement. Falls Prevention in Community-Dwelling Older</w:t>
            </w:r>
            <w:r w:rsidRPr="002201F6">
              <w:rPr>
                <w:color w:val="000000"/>
                <w:sz w:val="18"/>
                <w:szCs w:val="18"/>
                <w:lang w:val="en-US"/>
              </w:rPr>
              <w:tab/>
              <w:t>Adults:</w:t>
            </w:r>
            <w:r w:rsidRPr="002201F6">
              <w:rPr>
                <w:color w:val="000000"/>
                <w:sz w:val="18"/>
                <w:szCs w:val="18"/>
                <w:lang w:val="en-US"/>
              </w:rPr>
              <w:tab/>
              <w:t>Interventions.</w:t>
            </w:r>
            <w:r w:rsidRPr="002201F6">
              <w:rPr>
                <w:color w:val="000000"/>
                <w:sz w:val="18"/>
                <w:szCs w:val="18"/>
                <w:lang w:val="en-US"/>
              </w:rPr>
              <w:tab/>
              <w:t>Pozyskano</w:t>
            </w:r>
            <w:r w:rsidRPr="002201F6">
              <w:rPr>
                <w:color w:val="000000"/>
                <w:sz w:val="18"/>
                <w:szCs w:val="18"/>
                <w:lang w:val="en-US"/>
              </w:rPr>
              <w:tab/>
              <w:t>z:</w:t>
            </w:r>
          </w:p>
          <w:p w14:paraId="2A6CDD43" w14:textId="77777777" w:rsidR="00EA6354" w:rsidRPr="002201F6" w:rsidRDefault="00D12AD3" w:rsidP="008A3F1C">
            <w:pPr>
              <w:pStyle w:val="Inne0"/>
              <w:spacing w:after="0"/>
              <w:jc w:val="both"/>
              <w:rPr>
                <w:color w:val="000000"/>
                <w:sz w:val="18"/>
                <w:szCs w:val="18"/>
                <w:lang w:val="en-US"/>
              </w:rPr>
            </w:pPr>
            <w:hyperlink r:id="rId23" w:history="1">
              <w:r w:rsidR="00EA6354" w:rsidRPr="002201F6">
                <w:rPr>
                  <w:rStyle w:val="Hipercze"/>
                  <w:sz w:val="18"/>
                  <w:szCs w:val="18"/>
                  <w:lang w:val="en-US"/>
                </w:rPr>
                <w:t>https://www.uspreventiveservicestaskforce.org/Page/Document/RecommendationStatement</w:t>
              </w:r>
            </w:hyperlink>
            <w:r w:rsidR="00EA6354" w:rsidRPr="002201F6">
              <w:rPr>
                <w:color w:val="000000"/>
                <w:sz w:val="18"/>
                <w:szCs w:val="18"/>
                <w:lang w:val="en-US"/>
              </w:rPr>
              <w:t xml:space="preserve"> Final/falls-prevention-in-older-adults-interventions1, dostęp z 30.08.2018.</w:t>
            </w:r>
          </w:p>
        </w:tc>
      </w:tr>
      <w:tr w:rsidR="00EA6354" w14:paraId="0ADE7A2D"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695235B8" w14:textId="77777777" w:rsidR="00EA6354" w:rsidRPr="00EA6354" w:rsidRDefault="00EA6354" w:rsidP="00EA6354">
            <w:pPr>
              <w:pStyle w:val="Inne0"/>
              <w:spacing w:after="0"/>
              <w:rPr>
                <w:b/>
                <w:bCs/>
                <w:color w:val="000000"/>
                <w:sz w:val="18"/>
                <w:szCs w:val="18"/>
              </w:rPr>
            </w:pPr>
            <w:r>
              <w:rPr>
                <w:b/>
                <w:bCs/>
                <w:color w:val="000000"/>
                <w:sz w:val="18"/>
                <w:szCs w:val="18"/>
              </w:rPr>
              <w:t>USPSTF 2018c</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11E3B75A" w14:textId="77777777" w:rsidR="00EA6354" w:rsidRPr="00EA6354" w:rsidRDefault="00EA6354" w:rsidP="00EA6354">
            <w:pPr>
              <w:pStyle w:val="Inne0"/>
              <w:spacing w:after="0"/>
              <w:jc w:val="both"/>
              <w:rPr>
                <w:color w:val="000000"/>
                <w:sz w:val="18"/>
                <w:szCs w:val="18"/>
              </w:rPr>
            </w:pPr>
            <w:r w:rsidRPr="002201F6">
              <w:rPr>
                <w:color w:val="000000"/>
                <w:sz w:val="18"/>
                <w:szCs w:val="18"/>
                <w:lang w:val="en-US"/>
              </w:rPr>
              <w:t>Grossman D.C. i wsp. (2018). Vitamin D, Calcium, or Combined Supplementation for the Primary Prevention of Fractures in Community-Dwelling Adults: US Preventive Services Task Force</w:t>
            </w:r>
            <w:r w:rsidRPr="002201F6">
              <w:rPr>
                <w:color w:val="000000"/>
                <w:sz w:val="18"/>
                <w:szCs w:val="18"/>
                <w:lang w:val="en-US"/>
              </w:rPr>
              <w:tab/>
              <w:t>Recommendation</w:t>
            </w:r>
            <w:r w:rsidRPr="002201F6">
              <w:rPr>
                <w:color w:val="000000"/>
                <w:sz w:val="18"/>
                <w:szCs w:val="18"/>
                <w:lang w:val="en-US"/>
              </w:rPr>
              <w:tab/>
              <w:t>Statement.</w:t>
            </w:r>
            <w:r w:rsidRPr="002201F6">
              <w:rPr>
                <w:color w:val="000000"/>
                <w:sz w:val="18"/>
                <w:szCs w:val="18"/>
                <w:lang w:val="en-US"/>
              </w:rPr>
              <w:tab/>
            </w:r>
            <w:r w:rsidRPr="00EA6354">
              <w:rPr>
                <w:color w:val="000000"/>
                <w:sz w:val="18"/>
                <w:szCs w:val="18"/>
              </w:rPr>
              <w:t>JaMa.</w:t>
            </w:r>
            <w:r>
              <w:rPr>
                <w:color w:val="000000"/>
                <w:sz w:val="18"/>
                <w:szCs w:val="18"/>
              </w:rPr>
              <w:tab/>
              <w:t>2018 Apr 17;319(15):1592-1599.</w:t>
            </w:r>
            <w:r>
              <w:rPr>
                <w:color w:val="000000"/>
                <w:sz w:val="18"/>
                <w:szCs w:val="18"/>
              </w:rPr>
              <w:tab/>
              <w:t>doi:</w:t>
            </w:r>
          </w:p>
          <w:p w14:paraId="67FDB390" w14:textId="77777777" w:rsidR="00EA6354" w:rsidRPr="00EA6354" w:rsidRDefault="00EA6354" w:rsidP="008A3F1C">
            <w:pPr>
              <w:pStyle w:val="Inne0"/>
              <w:spacing w:after="0"/>
              <w:jc w:val="both"/>
              <w:rPr>
                <w:color w:val="000000"/>
                <w:sz w:val="18"/>
                <w:szCs w:val="18"/>
              </w:rPr>
            </w:pPr>
            <w:r>
              <w:rPr>
                <w:color w:val="000000"/>
                <w:sz w:val="18"/>
                <w:szCs w:val="18"/>
              </w:rPr>
              <w:t>10.1001/jama.2018.3185.</w:t>
            </w:r>
          </w:p>
        </w:tc>
      </w:tr>
      <w:tr w:rsidR="00EA6354" w14:paraId="1829FAF3"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1401C22E" w14:textId="77777777" w:rsidR="00EA6354" w:rsidRPr="00EA6354" w:rsidRDefault="00EA6354" w:rsidP="008A3F1C">
            <w:pPr>
              <w:pStyle w:val="Inne0"/>
              <w:spacing w:after="0"/>
              <w:rPr>
                <w:b/>
                <w:bCs/>
                <w:color w:val="000000"/>
                <w:sz w:val="18"/>
                <w:szCs w:val="18"/>
              </w:rPr>
            </w:pPr>
            <w:r>
              <w:rPr>
                <w:b/>
                <w:bCs/>
                <w:color w:val="000000"/>
                <w:sz w:val="18"/>
                <w:szCs w:val="18"/>
              </w:rPr>
              <w:t>WFO 2017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22830A2C" w14:textId="77777777" w:rsidR="00EA6354" w:rsidRPr="00EA6354" w:rsidRDefault="00EA6354" w:rsidP="008A3F1C">
            <w:pPr>
              <w:pStyle w:val="Inne0"/>
              <w:spacing w:after="0"/>
              <w:jc w:val="both"/>
              <w:rPr>
                <w:color w:val="000000"/>
                <w:sz w:val="18"/>
                <w:szCs w:val="18"/>
              </w:rPr>
            </w:pPr>
            <w:r>
              <w:rPr>
                <w:color w:val="000000"/>
                <w:sz w:val="18"/>
                <w:szCs w:val="18"/>
              </w:rPr>
              <w:t>Lorenc, R., Głuszko, P., Franek, E., Jabłoński, M., Jaworski, M., Kalinka-Warzocha, E., ... &amp; Misiorowski, W. (2017). Zalecenia postępowania diagnostycznego i leczniczego w osteoporozie w Polsce. Aktualizacja 2017. Endokrynologia Polska, 68(A), 1-18.</w:t>
            </w:r>
          </w:p>
        </w:tc>
      </w:tr>
      <w:tr w:rsidR="00EA6354" w14:paraId="226D7368"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1D8D0243" w14:textId="77777777" w:rsidR="00EA6354" w:rsidRPr="00EA6354" w:rsidRDefault="00EA6354" w:rsidP="008A3F1C">
            <w:pPr>
              <w:pStyle w:val="Inne0"/>
              <w:spacing w:after="0"/>
              <w:rPr>
                <w:b/>
                <w:bCs/>
                <w:color w:val="000000"/>
                <w:sz w:val="18"/>
                <w:szCs w:val="18"/>
              </w:rPr>
            </w:pPr>
            <w:r>
              <w:rPr>
                <w:b/>
                <w:bCs/>
                <w:color w:val="000000"/>
                <w:sz w:val="18"/>
                <w:szCs w:val="18"/>
              </w:rPr>
              <w:t>WHO 2007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459C90D7"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World Health Organization. (2004, May). WHO scientific group on the assessment of osteoporosis at primary health care level. </w:t>
            </w:r>
            <w:r>
              <w:rPr>
                <w:color w:val="000000"/>
                <w:sz w:val="18"/>
                <w:szCs w:val="18"/>
              </w:rPr>
              <w:t>In Summary meeting report (pp. 5-7).</w:t>
            </w:r>
          </w:p>
        </w:tc>
      </w:tr>
      <w:tr w:rsidR="00EA6354" w:rsidRPr="002201F6" w14:paraId="09C03493"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5BF11474" w14:textId="77777777" w:rsidR="00EA6354" w:rsidRPr="00EA6354" w:rsidRDefault="00EA6354" w:rsidP="008A3F1C">
            <w:pPr>
              <w:pStyle w:val="Inne0"/>
              <w:spacing w:after="0"/>
              <w:rPr>
                <w:b/>
                <w:bCs/>
                <w:color w:val="000000"/>
                <w:sz w:val="18"/>
                <w:szCs w:val="18"/>
              </w:rPr>
            </w:pPr>
            <w:r>
              <w:rPr>
                <w:b/>
                <w:bCs/>
                <w:color w:val="000000"/>
                <w:sz w:val="18"/>
                <w:szCs w:val="18"/>
              </w:rPr>
              <w:t>WHO 2016</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4AAA7E68" w14:textId="77777777" w:rsidR="00EA6354" w:rsidRPr="002201F6" w:rsidRDefault="00EA6354" w:rsidP="008A3F1C">
            <w:pPr>
              <w:pStyle w:val="Inne0"/>
              <w:spacing w:after="0"/>
              <w:jc w:val="both"/>
              <w:rPr>
                <w:color w:val="000000"/>
                <w:sz w:val="18"/>
                <w:szCs w:val="18"/>
                <w:lang w:val="en-US"/>
              </w:rPr>
            </w:pPr>
            <w:r w:rsidRPr="002201F6">
              <w:rPr>
                <w:color w:val="000000"/>
                <w:sz w:val="18"/>
                <w:szCs w:val="18"/>
                <w:lang w:val="en-US"/>
              </w:rPr>
              <w:t>Ford, N., Norris, S. L., &amp; Hill, S. R. (2016). Clarifying WHO's position on the FRAX® tool for fracture prediction.</w:t>
            </w:r>
          </w:p>
        </w:tc>
      </w:tr>
      <w:tr w:rsidR="00EA6354" w14:paraId="28B31CDE"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2DADA83F" w14:textId="77777777" w:rsidR="00EA6354" w:rsidRPr="00EA6354" w:rsidRDefault="00EA6354" w:rsidP="008A3F1C">
            <w:pPr>
              <w:pStyle w:val="Inne0"/>
              <w:spacing w:after="0"/>
              <w:rPr>
                <w:b/>
                <w:bCs/>
                <w:color w:val="000000"/>
                <w:sz w:val="18"/>
                <w:szCs w:val="18"/>
              </w:rPr>
            </w:pPr>
            <w:r>
              <w:rPr>
                <w:b/>
                <w:bCs/>
                <w:color w:val="000000"/>
                <w:sz w:val="18"/>
                <w:szCs w:val="18"/>
              </w:rPr>
              <w:t>Akesson 2013</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7A1C3F3E"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Akesson K, Marsh D, Mitchell PJ, McLellan AR, Stenmark J, Pierroz DD, Kyer C, Cooper C; IOF Fracture Working Group (2013) Capture the Fracture: a Best Practice Framework and global campaign to break the fragility fracture cycle. </w:t>
            </w:r>
            <w:r>
              <w:rPr>
                <w:color w:val="000000"/>
                <w:sz w:val="18"/>
                <w:szCs w:val="18"/>
              </w:rPr>
              <w:t xml:space="preserve">Osteoporos Int 24:2135-2152. Pozyskano z: </w:t>
            </w:r>
            <w:hyperlink r:id="rId24" w:history="1">
              <w:r w:rsidRPr="00EA6354">
                <w:rPr>
                  <w:rStyle w:val="Hipercze"/>
                  <w:sz w:val="18"/>
                  <w:szCs w:val="18"/>
                </w:rPr>
                <w:t>https://www.capturethefracture.org/best-practice-framework</w:t>
              </w:r>
            </w:hyperlink>
            <w:r>
              <w:rPr>
                <w:color w:val="000000"/>
                <w:sz w:val="18"/>
                <w:szCs w:val="18"/>
              </w:rPr>
              <w:t>, dostęp z 21.09.2018.</w:t>
            </w:r>
          </w:p>
        </w:tc>
      </w:tr>
      <w:tr w:rsidR="00EA6354" w14:paraId="29838FAD"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7A67477D" w14:textId="77777777" w:rsidR="00EA6354" w:rsidRPr="00EA6354" w:rsidRDefault="00EA6354" w:rsidP="00EA6354">
            <w:pPr>
              <w:pStyle w:val="Inne0"/>
              <w:spacing w:after="0"/>
              <w:rPr>
                <w:b/>
                <w:bCs/>
                <w:color w:val="000000"/>
                <w:sz w:val="18"/>
                <w:szCs w:val="18"/>
              </w:rPr>
            </w:pPr>
            <w:r>
              <w:rPr>
                <w:b/>
                <w:bCs/>
                <w:color w:val="000000"/>
                <w:sz w:val="18"/>
                <w:szCs w:val="18"/>
              </w:rPr>
              <w:t>EFOiChMS 2015</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672E7441" w14:textId="77777777" w:rsidR="00EA6354" w:rsidRPr="00EA6354" w:rsidRDefault="00EA6354" w:rsidP="00EA6354">
            <w:pPr>
              <w:pStyle w:val="Inne0"/>
              <w:spacing w:after="0"/>
              <w:jc w:val="both"/>
              <w:rPr>
                <w:color w:val="000000"/>
                <w:sz w:val="18"/>
                <w:szCs w:val="18"/>
              </w:rPr>
            </w:pPr>
            <w:r>
              <w:rPr>
                <w:color w:val="000000"/>
                <w:sz w:val="18"/>
                <w:szCs w:val="18"/>
              </w:rPr>
              <w:t>EFOiChMS</w:t>
            </w:r>
            <w:r>
              <w:rPr>
                <w:color w:val="000000"/>
                <w:sz w:val="18"/>
                <w:szCs w:val="18"/>
              </w:rPr>
              <w:tab/>
              <w:t>(2015).</w:t>
            </w:r>
            <w:r>
              <w:rPr>
                <w:color w:val="000000"/>
                <w:sz w:val="18"/>
                <w:szCs w:val="18"/>
              </w:rPr>
              <w:tab/>
              <w:t>Raport:</w:t>
            </w:r>
            <w:r>
              <w:rPr>
                <w:color w:val="000000"/>
                <w:sz w:val="18"/>
                <w:szCs w:val="18"/>
              </w:rPr>
              <w:tab/>
              <w:t>Osteoporoza</w:t>
            </w:r>
            <w:r>
              <w:rPr>
                <w:color w:val="000000"/>
                <w:sz w:val="18"/>
                <w:szCs w:val="18"/>
              </w:rPr>
              <w:tab/>
              <w:t>-</w:t>
            </w:r>
            <w:r>
              <w:rPr>
                <w:color w:val="000000"/>
                <w:sz w:val="18"/>
                <w:szCs w:val="18"/>
              </w:rPr>
              <w:tab/>
              <w:t>Cicha</w:t>
            </w:r>
            <w:r>
              <w:rPr>
                <w:color w:val="000000"/>
                <w:sz w:val="18"/>
                <w:szCs w:val="18"/>
              </w:rPr>
              <w:tab/>
              <w:t>epidemia.</w:t>
            </w:r>
            <w:r>
              <w:rPr>
                <w:color w:val="000000"/>
                <w:sz w:val="18"/>
                <w:szCs w:val="18"/>
              </w:rPr>
              <w:tab/>
              <w:t>Pozyskano</w:t>
            </w:r>
            <w:r>
              <w:rPr>
                <w:color w:val="000000"/>
                <w:sz w:val="18"/>
                <w:szCs w:val="18"/>
              </w:rPr>
              <w:tab/>
              <w:t>z:</w:t>
            </w:r>
          </w:p>
          <w:p w14:paraId="7C2EC68A" w14:textId="77777777" w:rsidR="00EA6354" w:rsidRPr="00EA6354" w:rsidRDefault="00D12AD3" w:rsidP="008A3F1C">
            <w:pPr>
              <w:pStyle w:val="Inne0"/>
              <w:spacing w:after="0"/>
              <w:jc w:val="both"/>
              <w:rPr>
                <w:color w:val="000000"/>
                <w:sz w:val="18"/>
                <w:szCs w:val="18"/>
              </w:rPr>
            </w:pPr>
            <w:hyperlink r:id="rId25" w:history="1">
              <w:r w:rsidR="00EA6354" w:rsidRPr="00EA6354">
                <w:rPr>
                  <w:rStyle w:val="Hipercze"/>
                  <w:sz w:val="18"/>
                  <w:szCs w:val="18"/>
                </w:rPr>
                <w:t>http://www.osteoporoza.pl/index.php?option=com_content&amp;view=article&amp;id=1907&amp;Itemid=14</w:t>
              </w:r>
            </w:hyperlink>
            <w:r w:rsidR="00EA6354">
              <w:rPr>
                <w:color w:val="000000"/>
                <w:sz w:val="18"/>
                <w:szCs w:val="18"/>
              </w:rPr>
              <w:t xml:space="preserve"> 9, dostęp z 06.08.2018.</w:t>
            </w:r>
          </w:p>
        </w:tc>
      </w:tr>
      <w:tr w:rsidR="00EA6354" w14:paraId="09F05ACC"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372B96EC" w14:textId="77777777" w:rsidR="00EA6354" w:rsidRPr="00EA6354" w:rsidRDefault="00EA6354" w:rsidP="008A3F1C">
            <w:pPr>
              <w:pStyle w:val="Inne0"/>
              <w:spacing w:after="0"/>
              <w:rPr>
                <w:b/>
                <w:bCs/>
                <w:color w:val="000000"/>
                <w:sz w:val="18"/>
                <w:szCs w:val="18"/>
              </w:rPr>
            </w:pPr>
            <w:r>
              <w:rPr>
                <w:b/>
                <w:bCs/>
                <w:color w:val="000000"/>
                <w:sz w:val="18"/>
                <w:szCs w:val="18"/>
              </w:rPr>
              <w:t>Głuszko 2017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1E49A29E" w14:textId="77777777" w:rsidR="00EA6354" w:rsidRPr="00EA6354" w:rsidRDefault="00EA6354" w:rsidP="008A3F1C">
            <w:pPr>
              <w:pStyle w:val="Inne0"/>
              <w:spacing w:after="0"/>
              <w:jc w:val="both"/>
              <w:rPr>
                <w:color w:val="000000"/>
                <w:sz w:val="18"/>
                <w:szCs w:val="18"/>
              </w:rPr>
            </w:pPr>
            <w:r>
              <w:rPr>
                <w:color w:val="000000"/>
                <w:sz w:val="18"/>
                <w:szCs w:val="18"/>
              </w:rPr>
              <w:t>Głuszko, P., Tłustochowicz, W., &amp; Korkosz, M. (2017). Choroby metaboliczne kości. W: Gajewski P (red.) Interna Szczeklika, 2070-2076.</w:t>
            </w:r>
          </w:p>
        </w:tc>
      </w:tr>
      <w:tr w:rsidR="00EA6354" w14:paraId="397AD85B"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64D7FDF4" w14:textId="77777777" w:rsidR="00EA6354" w:rsidRPr="00EA6354" w:rsidRDefault="00EA6354" w:rsidP="008A3F1C">
            <w:pPr>
              <w:pStyle w:val="Inne0"/>
              <w:spacing w:after="0"/>
              <w:rPr>
                <w:b/>
                <w:bCs/>
                <w:color w:val="000000"/>
                <w:sz w:val="18"/>
                <w:szCs w:val="18"/>
              </w:rPr>
            </w:pPr>
            <w:r>
              <w:rPr>
                <w:b/>
                <w:bCs/>
                <w:color w:val="000000"/>
                <w:sz w:val="18"/>
                <w:szCs w:val="18"/>
              </w:rPr>
              <w:t>Hernlund 2013</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4D365C2C"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Hernlund, E., Svedbom, A., Ivergard, M., Compston, J., Cooper, C., Stenmark, J., ... &amp; Kanis, J. A. (2013). Osteoporosis in the European Union: medical management, epidemiology and economic burden. </w:t>
            </w:r>
            <w:r>
              <w:rPr>
                <w:color w:val="000000"/>
                <w:sz w:val="18"/>
                <w:szCs w:val="18"/>
              </w:rPr>
              <w:t>Archives of osteoporosis, 8(1-2), 136.</w:t>
            </w:r>
          </w:p>
        </w:tc>
      </w:tr>
      <w:tr w:rsidR="00EA6354" w14:paraId="3B0689EB"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38CAE2C4" w14:textId="77777777" w:rsidR="00EA6354" w:rsidRPr="00EA6354" w:rsidRDefault="00EA6354" w:rsidP="008A3F1C">
            <w:pPr>
              <w:pStyle w:val="Inne0"/>
              <w:spacing w:after="0"/>
              <w:rPr>
                <w:b/>
                <w:bCs/>
                <w:color w:val="000000"/>
                <w:sz w:val="18"/>
                <w:szCs w:val="18"/>
              </w:rPr>
            </w:pPr>
            <w:r>
              <w:rPr>
                <w:b/>
                <w:bCs/>
                <w:color w:val="000000"/>
                <w:sz w:val="18"/>
                <w:szCs w:val="18"/>
              </w:rPr>
              <w:t>IOF 2018</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5A6A4C86"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IOF (2018). Map of best practice. </w:t>
            </w:r>
            <w:r>
              <w:rPr>
                <w:color w:val="000000"/>
                <w:sz w:val="18"/>
                <w:szCs w:val="18"/>
              </w:rPr>
              <w:t xml:space="preserve">Pozyskano z: </w:t>
            </w:r>
            <w:hyperlink r:id="rId26" w:history="1">
              <w:r w:rsidRPr="00EA6354">
                <w:rPr>
                  <w:rStyle w:val="Hipercze"/>
                  <w:sz w:val="18"/>
                  <w:szCs w:val="18"/>
                </w:rPr>
                <w:t>https://www.capturethefracture.org/map-of- best-practice</w:t>
              </w:r>
            </w:hyperlink>
            <w:r>
              <w:rPr>
                <w:color w:val="000000"/>
                <w:sz w:val="18"/>
                <w:szCs w:val="18"/>
              </w:rPr>
              <w:t>, dostęp z 21.09.2018.</w:t>
            </w:r>
          </w:p>
        </w:tc>
      </w:tr>
      <w:tr w:rsidR="00EA6354" w14:paraId="48802D54"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04E5E307" w14:textId="77777777" w:rsidR="00EA6354" w:rsidRPr="00EA6354" w:rsidRDefault="00EA6354" w:rsidP="00EA6354">
            <w:pPr>
              <w:pStyle w:val="Inne0"/>
              <w:spacing w:after="0"/>
              <w:rPr>
                <w:b/>
                <w:bCs/>
                <w:color w:val="000000"/>
                <w:sz w:val="18"/>
                <w:szCs w:val="18"/>
              </w:rPr>
            </w:pPr>
            <w:r>
              <w:rPr>
                <w:b/>
                <w:bCs/>
                <w:color w:val="000000"/>
                <w:sz w:val="18"/>
                <w:szCs w:val="18"/>
              </w:rPr>
              <w:t>Misiorowski 2013</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0243312E" w14:textId="77777777" w:rsidR="00EA6354" w:rsidRPr="00EA6354" w:rsidRDefault="00EA6354" w:rsidP="00EA6354">
            <w:pPr>
              <w:pStyle w:val="Inne0"/>
              <w:spacing w:after="0"/>
              <w:jc w:val="both"/>
              <w:rPr>
                <w:color w:val="000000"/>
                <w:sz w:val="18"/>
                <w:szCs w:val="18"/>
              </w:rPr>
            </w:pPr>
            <w:r>
              <w:rPr>
                <w:color w:val="000000"/>
                <w:sz w:val="18"/>
                <w:szCs w:val="18"/>
              </w:rPr>
              <w:t>Misiorowski W., Głuszko P. (2013). Rozpoznawanie, prewencja i leczenie osteoporozy u mężczyzn.</w:t>
            </w:r>
            <w:r>
              <w:rPr>
                <w:color w:val="000000"/>
                <w:sz w:val="18"/>
                <w:szCs w:val="18"/>
              </w:rPr>
              <w:tab/>
              <w:t>Podsumowanie wytycznych The Endocrine Society 2012.</w:t>
            </w:r>
            <w:r>
              <w:rPr>
                <w:color w:val="000000"/>
                <w:sz w:val="18"/>
                <w:szCs w:val="18"/>
              </w:rPr>
              <w:tab/>
              <w:t>Pozyskano z:</w:t>
            </w:r>
          </w:p>
          <w:p w14:paraId="66C25693" w14:textId="77777777" w:rsidR="00EA6354" w:rsidRPr="00EA6354" w:rsidRDefault="00D12AD3" w:rsidP="00EA6354">
            <w:pPr>
              <w:pStyle w:val="Inne0"/>
              <w:spacing w:after="0"/>
              <w:jc w:val="both"/>
              <w:rPr>
                <w:color w:val="000000"/>
                <w:sz w:val="18"/>
                <w:szCs w:val="18"/>
              </w:rPr>
            </w:pPr>
            <w:hyperlink r:id="rId27" w:history="1">
              <w:r w:rsidR="00EA6354" w:rsidRPr="00EA6354">
                <w:rPr>
                  <w:rStyle w:val="Hipercze"/>
                  <w:sz w:val="18"/>
                  <w:szCs w:val="18"/>
                </w:rPr>
                <w:t>https://www.mp.pl/reumatologia/wytyczne/78861,rozpoznawanie-prewencja-i-leczenie- osteoporozy-u-mezczyzn-podsumowanie-wytycznych-the-endocrine-society-2012,1</w:t>
              </w:r>
            </w:hyperlink>
            <w:r w:rsidR="00EA6354">
              <w:rPr>
                <w:color w:val="000000"/>
                <w:sz w:val="18"/>
                <w:szCs w:val="18"/>
              </w:rPr>
              <w:t>; dostęp z 23.08.2018.</w:t>
            </w:r>
          </w:p>
        </w:tc>
      </w:tr>
      <w:tr w:rsidR="00EA6354" w14:paraId="06E219F0"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7857DDE2" w14:textId="77777777" w:rsidR="00EA6354" w:rsidRPr="00EA6354" w:rsidRDefault="00EA6354" w:rsidP="008A3F1C">
            <w:pPr>
              <w:pStyle w:val="Inne0"/>
              <w:spacing w:after="0"/>
              <w:rPr>
                <w:b/>
                <w:bCs/>
                <w:color w:val="000000"/>
                <w:sz w:val="18"/>
                <w:szCs w:val="18"/>
              </w:rPr>
            </w:pPr>
            <w:r>
              <w:rPr>
                <w:b/>
                <w:bCs/>
                <w:color w:val="000000"/>
                <w:sz w:val="18"/>
                <w:szCs w:val="18"/>
              </w:rPr>
              <w:t>MZ 2017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5DE8164B" w14:textId="77777777" w:rsidR="00EA6354" w:rsidRPr="00EA6354" w:rsidRDefault="00EA6354" w:rsidP="008A3F1C">
            <w:pPr>
              <w:pStyle w:val="Inne0"/>
              <w:spacing w:after="0"/>
              <w:jc w:val="both"/>
              <w:rPr>
                <w:color w:val="000000"/>
                <w:sz w:val="18"/>
                <w:szCs w:val="18"/>
              </w:rPr>
            </w:pPr>
            <w:r>
              <w:rPr>
                <w:color w:val="000000"/>
                <w:sz w:val="18"/>
                <w:szCs w:val="18"/>
              </w:rPr>
              <w:t>MZ (2017). Mapy potrzeb zdrowotnych w zakresie chorób układu kostno-mięśniowego.</w:t>
            </w:r>
          </w:p>
          <w:p w14:paraId="2BAC2A5E" w14:textId="77777777" w:rsidR="00EA6354" w:rsidRPr="00EA6354" w:rsidRDefault="00EA6354" w:rsidP="00EA6354">
            <w:pPr>
              <w:pStyle w:val="Inne0"/>
              <w:spacing w:after="0"/>
              <w:jc w:val="both"/>
              <w:rPr>
                <w:color w:val="000000"/>
                <w:sz w:val="18"/>
                <w:szCs w:val="18"/>
              </w:rPr>
            </w:pPr>
            <w:r>
              <w:rPr>
                <w:color w:val="000000"/>
                <w:sz w:val="18"/>
                <w:szCs w:val="18"/>
              </w:rPr>
              <w:t xml:space="preserve">Pozyskano z: </w:t>
            </w:r>
            <w:hyperlink r:id="rId28" w:history="1">
              <w:r w:rsidRPr="00EA6354">
                <w:rPr>
                  <w:rStyle w:val="Hipercze"/>
                  <w:sz w:val="18"/>
                  <w:szCs w:val="18"/>
                </w:rPr>
                <w:t>http://www.mpz.mz.gov.pl/mapy-dla-30-grup-chorob/</w:t>
              </w:r>
            </w:hyperlink>
            <w:r>
              <w:rPr>
                <w:color w:val="000000"/>
                <w:sz w:val="18"/>
                <w:szCs w:val="18"/>
              </w:rPr>
              <w:t>, dostęp z 06.08.2018</w:t>
            </w:r>
          </w:p>
        </w:tc>
      </w:tr>
      <w:tr w:rsidR="00EA6354" w14:paraId="1C7C4C75"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2B09D219" w14:textId="77777777" w:rsidR="00EA6354" w:rsidRPr="00EA6354" w:rsidRDefault="00EA6354" w:rsidP="008A3F1C">
            <w:pPr>
              <w:pStyle w:val="Inne0"/>
              <w:spacing w:after="0"/>
              <w:rPr>
                <w:b/>
                <w:bCs/>
                <w:color w:val="000000"/>
                <w:sz w:val="18"/>
                <w:szCs w:val="18"/>
              </w:rPr>
            </w:pPr>
            <w:r>
              <w:rPr>
                <w:b/>
                <w:bCs/>
                <w:color w:val="000000"/>
                <w:sz w:val="18"/>
                <w:szCs w:val="18"/>
              </w:rPr>
              <w:t>Walters 2017</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32CDCE9E" w14:textId="77777777" w:rsidR="00EA6354" w:rsidRPr="00EA6354" w:rsidRDefault="00EA6354" w:rsidP="008A3F1C">
            <w:pPr>
              <w:pStyle w:val="Inne0"/>
              <w:spacing w:after="0"/>
              <w:jc w:val="both"/>
              <w:rPr>
                <w:color w:val="000000"/>
                <w:sz w:val="18"/>
                <w:szCs w:val="18"/>
              </w:rPr>
            </w:pPr>
            <w:r w:rsidRPr="002201F6">
              <w:rPr>
                <w:color w:val="000000"/>
                <w:sz w:val="18"/>
                <w:szCs w:val="18"/>
                <w:lang w:val="en-US"/>
              </w:rPr>
              <w:t xml:space="preserve">Walters, S., Khan, T., Ong, T., &amp; Sahota, O. (2017). Fracture liaison services: improving outcomes for patients with osteoporosis. </w:t>
            </w:r>
            <w:r>
              <w:rPr>
                <w:color w:val="000000"/>
                <w:sz w:val="18"/>
                <w:szCs w:val="18"/>
              </w:rPr>
              <w:t>Clinical interventions in aging, 12, 117</w:t>
            </w:r>
          </w:p>
        </w:tc>
      </w:tr>
      <w:tr w:rsidR="00EA6354" w:rsidRPr="002201F6" w14:paraId="5FF3885F" w14:textId="77777777" w:rsidTr="00EA6354">
        <w:trPr>
          <w:trHeight w:hRule="exact" w:val="701"/>
          <w:jc w:val="center"/>
        </w:trPr>
        <w:tc>
          <w:tcPr>
            <w:tcW w:w="1469" w:type="dxa"/>
            <w:tcBorders>
              <w:top w:val="single" w:sz="4" w:space="0" w:color="auto"/>
              <w:left w:val="single" w:sz="4" w:space="0" w:color="auto"/>
              <w:bottom w:val="single" w:sz="4" w:space="0" w:color="auto"/>
            </w:tcBorders>
            <w:shd w:val="clear" w:color="auto" w:fill="FFFFFF"/>
            <w:vAlign w:val="center"/>
          </w:tcPr>
          <w:p w14:paraId="678DDBCD" w14:textId="77777777" w:rsidR="00EA6354" w:rsidRPr="00EA6354" w:rsidRDefault="00EA6354" w:rsidP="008A3F1C">
            <w:pPr>
              <w:pStyle w:val="Inne0"/>
              <w:spacing w:after="0"/>
              <w:rPr>
                <w:b/>
                <w:bCs/>
                <w:color w:val="000000"/>
                <w:sz w:val="18"/>
                <w:szCs w:val="18"/>
              </w:rPr>
            </w:pPr>
            <w:r>
              <w:rPr>
                <w:b/>
                <w:bCs/>
                <w:color w:val="000000"/>
                <w:sz w:val="18"/>
                <w:szCs w:val="18"/>
              </w:rPr>
              <w:t>WHO 2009</w:t>
            </w:r>
          </w:p>
        </w:tc>
        <w:tc>
          <w:tcPr>
            <w:tcW w:w="7608" w:type="dxa"/>
            <w:tcBorders>
              <w:top w:val="single" w:sz="4" w:space="0" w:color="auto"/>
              <w:left w:val="single" w:sz="4" w:space="0" w:color="auto"/>
              <w:bottom w:val="single" w:sz="4" w:space="0" w:color="auto"/>
              <w:right w:val="single" w:sz="4" w:space="0" w:color="auto"/>
            </w:tcBorders>
            <w:shd w:val="clear" w:color="auto" w:fill="FFFFFF"/>
            <w:vAlign w:val="center"/>
          </w:tcPr>
          <w:p w14:paraId="48362342" w14:textId="77777777" w:rsidR="00EA6354" w:rsidRPr="002201F6" w:rsidRDefault="00EA6354" w:rsidP="008A3F1C">
            <w:pPr>
              <w:pStyle w:val="Inne0"/>
              <w:spacing w:after="0"/>
              <w:jc w:val="both"/>
              <w:rPr>
                <w:color w:val="000000"/>
                <w:sz w:val="18"/>
                <w:szCs w:val="18"/>
                <w:lang w:val="en-US"/>
              </w:rPr>
            </w:pPr>
            <w:r w:rsidRPr="002201F6">
              <w:rPr>
                <w:color w:val="000000"/>
                <w:sz w:val="18"/>
                <w:szCs w:val="18"/>
                <w:lang w:val="en-US"/>
              </w:rPr>
              <w:t>World Health Organization (2009). International Statistical Classification of Diseases and Related Health Problems, ICD-10, Volume I.</w:t>
            </w:r>
          </w:p>
        </w:tc>
      </w:tr>
    </w:tbl>
    <w:p w14:paraId="7C57EDFD" w14:textId="77777777" w:rsidR="00EA6354" w:rsidRPr="002201F6" w:rsidRDefault="00EA6354" w:rsidP="00EA6354">
      <w:pPr>
        <w:pStyle w:val="Teksttreci20"/>
        <w:tabs>
          <w:tab w:val="left" w:pos="1545"/>
        </w:tabs>
        <w:spacing w:line="276" w:lineRule="auto"/>
        <w:ind w:firstLine="0"/>
        <w:rPr>
          <w:sz w:val="24"/>
          <w:szCs w:val="24"/>
          <w:lang w:val="en-US"/>
        </w:rPr>
      </w:pPr>
    </w:p>
    <w:sectPr w:rsidR="00EA6354" w:rsidRPr="002201F6" w:rsidSect="0084245F">
      <w:headerReference w:type="default" r:id="rId29"/>
      <w:footerReference w:type="default" r:id="rId30"/>
      <w:pgSz w:w="11909" w:h="16840"/>
      <w:pgMar w:top="1415" w:right="1031" w:bottom="1415" w:left="1065"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EEB71" w14:textId="77777777" w:rsidR="00D12AD3" w:rsidRDefault="00D12AD3">
      <w:r>
        <w:separator/>
      </w:r>
    </w:p>
  </w:endnote>
  <w:endnote w:type="continuationSeparator" w:id="0">
    <w:p w14:paraId="67BC1D27" w14:textId="77777777" w:rsidR="00D12AD3" w:rsidRDefault="00D1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Microsoft Sans Serif">
    <w:panose1 w:val="020B0604020202020204"/>
    <w:charset w:val="EE"/>
    <w:family w:val="swiss"/>
    <w:pitch w:val="variable"/>
    <w:sig w:usb0="E5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235768"/>
      <w:docPartObj>
        <w:docPartGallery w:val="Page Numbers (Bottom of Page)"/>
        <w:docPartUnique/>
      </w:docPartObj>
    </w:sdtPr>
    <w:sdtEndPr/>
    <w:sdtContent>
      <w:sdt>
        <w:sdtPr>
          <w:id w:val="1728636285"/>
          <w:docPartObj>
            <w:docPartGallery w:val="Page Numbers (Top of Page)"/>
            <w:docPartUnique/>
          </w:docPartObj>
        </w:sdtPr>
        <w:sdtEndPr/>
        <w:sdtContent>
          <w:p w14:paraId="3FA7BC28" w14:textId="1D3EA4FB" w:rsidR="0084245F" w:rsidRDefault="0084245F">
            <w:pPr>
              <w:pStyle w:val="Stopka0"/>
              <w:jc w:val="center"/>
            </w:pPr>
            <w:r w:rsidRPr="000D773B">
              <w:rPr>
                <w:rFonts w:ascii="Times New Roman" w:hAnsi="Times New Roman" w:cs="Times New Roman"/>
                <w:sz w:val="20"/>
                <w:szCs w:val="20"/>
              </w:rPr>
              <w:t xml:space="preserve">Strona </w:t>
            </w:r>
            <w:r w:rsidRPr="000D773B">
              <w:rPr>
                <w:rFonts w:ascii="Times New Roman" w:hAnsi="Times New Roman" w:cs="Times New Roman"/>
                <w:b/>
                <w:bCs/>
                <w:sz w:val="20"/>
                <w:szCs w:val="20"/>
              </w:rPr>
              <w:fldChar w:fldCharType="begin"/>
            </w:r>
            <w:r w:rsidRPr="000D773B">
              <w:rPr>
                <w:rFonts w:ascii="Times New Roman" w:hAnsi="Times New Roman" w:cs="Times New Roman"/>
                <w:b/>
                <w:bCs/>
                <w:sz w:val="20"/>
                <w:szCs w:val="20"/>
              </w:rPr>
              <w:instrText>PAGE</w:instrText>
            </w:r>
            <w:r w:rsidRPr="000D773B">
              <w:rPr>
                <w:rFonts w:ascii="Times New Roman" w:hAnsi="Times New Roman" w:cs="Times New Roman"/>
                <w:b/>
                <w:bCs/>
                <w:sz w:val="20"/>
                <w:szCs w:val="20"/>
              </w:rPr>
              <w:fldChar w:fldCharType="separate"/>
            </w:r>
            <w:r w:rsidR="00606616">
              <w:rPr>
                <w:rFonts w:ascii="Times New Roman" w:hAnsi="Times New Roman" w:cs="Times New Roman"/>
                <w:b/>
                <w:bCs/>
                <w:noProof/>
                <w:sz w:val="20"/>
                <w:szCs w:val="20"/>
              </w:rPr>
              <w:t>27</w:t>
            </w:r>
            <w:r w:rsidRPr="000D773B">
              <w:rPr>
                <w:rFonts w:ascii="Times New Roman" w:hAnsi="Times New Roman" w:cs="Times New Roman"/>
                <w:b/>
                <w:bCs/>
                <w:sz w:val="20"/>
                <w:szCs w:val="20"/>
              </w:rPr>
              <w:fldChar w:fldCharType="end"/>
            </w:r>
            <w:r w:rsidRPr="000D773B">
              <w:rPr>
                <w:rFonts w:ascii="Times New Roman" w:hAnsi="Times New Roman" w:cs="Times New Roman"/>
                <w:sz w:val="20"/>
                <w:szCs w:val="20"/>
              </w:rPr>
              <w:t xml:space="preserve"> z </w:t>
            </w:r>
            <w:r w:rsidRPr="000D773B">
              <w:rPr>
                <w:rFonts w:ascii="Times New Roman" w:hAnsi="Times New Roman" w:cs="Times New Roman"/>
                <w:b/>
                <w:bCs/>
                <w:sz w:val="20"/>
                <w:szCs w:val="20"/>
              </w:rPr>
              <w:fldChar w:fldCharType="begin"/>
            </w:r>
            <w:r w:rsidRPr="000D773B">
              <w:rPr>
                <w:rFonts w:ascii="Times New Roman" w:hAnsi="Times New Roman" w:cs="Times New Roman"/>
                <w:b/>
                <w:bCs/>
                <w:sz w:val="20"/>
                <w:szCs w:val="20"/>
              </w:rPr>
              <w:instrText>NUMPAGES</w:instrText>
            </w:r>
            <w:r w:rsidRPr="000D773B">
              <w:rPr>
                <w:rFonts w:ascii="Times New Roman" w:hAnsi="Times New Roman" w:cs="Times New Roman"/>
                <w:b/>
                <w:bCs/>
                <w:sz w:val="20"/>
                <w:szCs w:val="20"/>
              </w:rPr>
              <w:fldChar w:fldCharType="separate"/>
            </w:r>
            <w:r w:rsidR="00606616">
              <w:rPr>
                <w:rFonts w:ascii="Times New Roman" w:hAnsi="Times New Roman" w:cs="Times New Roman"/>
                <w:b/>
                <w:bCs/>
                <w:noProof/>
                <w:sz w:val="20"/>
                <w:szCs w:val="20"/>
              </w:rPr>
              <w:t>27</w:t>
            </w:r>
            <w:r w:rsidRPr="000D773B">
              <w:rPr>
                <w:rFonts w:ascii="Times New Roman" w:hAnsi="Times New Roman" w:cs="Times New Roman"/>
                <w:b/>
                <w:bCs/>
                <w:sz w:val="20"/>
                <w:szCs w:val="20"/>
              </w:rPr>
              <w:fldChar w:fldCharType="end"/>
            </w:r>
          </w:p>
        </w:sdtContent>
      </w:sdt>
    </w:sdtContent>
  </w:sdt>
  <w:p w14:paraId="08EA67BE" w14:textId="77777777" w:rsidR="0084245F" w:rsidRDefault="0084245F">
    <w:pPr>
      <w:pStyle w:val="Stopk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F5293" w14:textId="77777777" w:rsidR="00D12AD3" w:rsidRDefault="00D12AD3">
      <w:r>
        <w:separator/>
      </w:r>
    </w:p>
  </w:footnote>
  <w:footnote w:type="continuationSeparator" w:id="0">
    <w:p w14:paraId="380A1F26" w14:textId="77777777" w:rsidR="00D12AD3" w:rsidRDefault="00D12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68921" w14:textId="77777777" w:rsidR="0084245F" w:rsidRDefault="0084245F" w:rsidP="0084245F">
    <w:pPr>
      <w:pStyle w:val="Teksttreci91"/>
      <w:shd w:val="clear" w:color="auto" w:fill="auto"/>
      <w:spacing w:line="240" w:lineRule="auto"/>
      <w:ind w:firstLine="0"/>
      <w:rPr>
        <w:rStyle w:val="Teksttreci9BezpogrubieniaOdstpy0pt"/>
        <w:sz w:val="24"/>
        <w:szCs w:val="24"/>
        <w:vertAlign w:val="superscript"/>
      </w:rPr>
    </w:pPr>
  </w:p>
  <w:p w14:paraId="408E787A" w14:textId="048F09C5" w:rsidR="0084245F" w:rsidRPr="000D773B" w:rsidRDefault="0084245F" w:rsidP="000D773B">
    <w:pPr>
      <w:pStyle w:val="Teksttreci91"/>
      <w:shd w:val="clear" w:color="auto" w:fill="auto"/>
      <w:spacing w:line="240" w:lineRule="auto"/>
      <w:ind w:firstLine="0"/>
      <w:rPr>
        <w:rStyle w:val="Teksttreci9BezpogrubieniaOdstpy0pt"/>
        <w:sz w:val="32"/>
        <w:szCs w:val="32"/>
        <w:vertAlign w:val="superscript"/>
      </w:rPr>
    </w:pPr>
    <w:r w:rsidRPr="000D773B">
      <w:rPr>
        <w:rStyle w:val="Teksttreci9BezpogrubieniaOdstpy0pt"/>
        <w:sz w:val="32"/>
        <w:szCs w:val="32"/>
        <w:vertAlign w:val="superscript"/>
      </w:rPr>
      <w:t>Program polityki zdrowotnej w obszarze edukacji w zakresie osteoporozy i wczesnego</w:t>
    </w:r>
  </w:p>
  <w:p w14:paraId="68B2E024" w14:textId="500F6CF1" w:rsidR="0084245F" w:rsidRDefault="0084245F" w:rsidP="000D773B">
    <w:pPr>
      <w:pStyle w:val="Teksttreci91"/>
      <w:pBdr>
        <w:bottom w:val="single" w:sz="6" w:space="1" w:color="auto"/>
      </w:pBdr>
      <w:shd w:val="clear" w:color="auto" w:fill="auto"/>
      <w:spacing w:line="240" w:lineRule="auto"/>
      <w:ind w:firstLine="0"/>
      <w:rPr>
        <w:rStyle w:val="Teksttreci9BezpogrubieniaOdstpy0pt"/>
        <w:sz w:val="32"/>
        <w:szCs w:val="32"/>
        <w:vertAlign w:val="superscript"/>
      </w:rPr>
    </w:pPr>
    <w:r w:rsidRPr="000D773B">
      <w:rPr>
        <w:rStyle w:val="Teksttreci9BezpogrubieniaOdstpy0pt"/>
        <w:sz w:val="32"/>
        <w:szCs w:val="32"/>
        <w:vertAlign w:val="superscript"/>
      </w:rPr>
      <w:t xml:space="preserve"> wykrywania osteoporozy w Gminie Warta Bolesławi</w:t>
    </w:r>
    <w:r w:rsidR="000D773B">
      <w:rPr>
        <w:rStyle w:val="Teksttreci9BezpogrubieniaOdstpy0pt"/>
        <w:sz w:val="32"/>
        <w:szCs w:val="32"/>
        <w:vertAlign w:val="superscript"/>
      </w:rPr>
      <w:t>e</w:t>
    </w:r>
    <w:r w:rsidRPr="000D773B">
      <w:rPr>
        <w:rStyle w:val="Teksttreci9BezpogrubieniaOdstpy0pt"/>
        <w:sz w:val="32"/>
        <w:szCs w:val="32"/>
        <w:vertAlign w:val="superscript"/>
      </w:rPr>
      <w:t>cka.</w:t>
    </w:r>
    <w:r w:rsidR="000D773B">
      <w:rPr>
        <w:rStyle w:val="Teksttreci9BezpogrubieniaOdstpy0pt"/>
        <w:sz w:val="32"/>
        <w:szCs w:val="32"/>
        <w:vertAlign w:val="superscript"/>
      </w:rPr>
      <w:t xml:space="preserve"> na lata </w:t>
    </w:r>
    <w:r w:rsidRPr="000D773B">
      <w:rPr>
        <w:rStyle w:val="Teksttreci9BezpogrubieniaOdstpy0pt"/>
        <w:sz w:val="32"/>
        <w:szCs w:val="32"/>
        <w:vertAlign w:val="superscript"/>
      </w:rPr>
      <w:t>2023-2025</w:t>
    </w:r>
  </w:p>
  <w:p w14:paraId="31BDF16A" w14:textId="77777777" w:rsidR="000D773B" w:rsidRDefault="000D773B" w:rsidP="000D773B">
    <w:pPr>
      <w:pStyle w:val="Teksttreci91"/>
      <w:shd w:val="clear" w:color="auto" w:fill="auto"/>
      <w:spacing w:line="240" w:lineRule="aut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88B"/>
    <w:multiLevelType w:val="hybridMultilevel"/>
    <w:tmpl w:val="143EF010"/>
    <w:lvl w:ilvl="0" w:tplc="085AD3CE">
      <w:start w:val="1"/>
      <w:numFmt w:val="decimal"/>
      <w:lvlText w:val="I.%1"/>
      <w:lvlJc w:val="right"/>
      <w:pPr>
        <w:ind w:left="720" w:hanging="360"/>
      </w:pPr>
      <w:rPr>
        <w:rFonts w:hint="default"/>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4D63B6"/>
    <w:multiLevelType w:val="hybridMultilevel"/>
    <w:tmpl w:val="4B7C56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7101865"/>
    <w:multiLevelType w:val="hybridMultilevel"/>
    <w:tmpl w:val="FBFE05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86E23CA"/>
    <w:multiLevelType w:val="hybridMultilevel"/>
    <w:tmpl w:val="9198D8A6"/>
    <w:lvl w:ilvl="0" w:tplc="04150017">
      <w:start w:val="1"/>
      <w:numFmt w:val="lowerLetter"/>
      <w:lvlText w:val="%1)"/>
      <w:lvlJc w:val="left"/>
      <w:pPr>
        <w:ind w:left="1440" w:hanging="360"/>
      </w:pPr>
    </w:lvl>
    <w:lvl w:ilvl="1" w:tplc="E186650E">
      <w:numFmt w:val="bullet"/>
      <w:lvlText w:val="•"/>
      <w:lvlJc w:val="left"/>
      <w:pPr>
        <w:ind w:left="2496" w:hanging="696"/>
      </w:pPr>
      <w:rPr>
        <w:rFonts w:ascii="Times New Roman" w:eastAsia="Times New Roman" w:hAnsi="Times New Roman" w:cs="Times New Roman"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92926B3"/>
    <w:multiLevelType w:val="hybridMultilevel"/>
    <w:tmpl w:val="2B9C85C0"/>
    <w:lvl w:ilvl="0" w:tplc="FE2456CC">
      <w:start w:val="1"/>
      <w:numFmt w:val="decimal"/>
      <w:lvlText w:val="III.%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E0560A"/>
    <w:multiLevelType w:val="hybridMultilevel"/>
    <w:tmpl w:val="BB4A9ED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07B612C"/>
    <w:multiLevelType w:val="multilevel"/>
    <w:tmpl w:val="1FB4863E"/>
    <w:lvl w:ilvl="0">
      <w:start w:val="1"/>
      <w:numFmt w:val="decimal"/>
      <w:lvlText w:val="II.%1"/>
      <w:lvlJc w:val="righ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start w:val="1"/>
      <w:numFmt w:val="upperRoman"/>
      <w:lvlText w:val="%4."/>
      <w:lvlJc w:val="righ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B4478C"/>
    <w:multiLevelType w:val="hybridMultilevel"/>
    <w:tmpl w:val="9F2611DA"/>
    <w:lvl w:ilvl="0" w:tplc="BB16D766">
      <w:start w:val="1"/>
      <w:numFmt w:val="decimal"/>
      <w:lvlText w:val="VI.%1"/>
      <w:lvlJc w:val="right"/>
      <w:pPr>
        <w:ind w:left="7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C708DA"/>
    <w:multiLevelType w:val="multilevel"/>
    <w:tmpl w:val="9AE499B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D65324"/>
    <w:multiLevelType w:val="hybridMultilevel"/>
    <w:tmpl w:val="A014C6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6B30A68"/>
    <w:multiLevelType w:val="hybridMultilevel"/>
    <w:tmpl w:val="74E4A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9B24AC"/>
    <w:multiLevelType w:val="hybridMultilevel"/>
    <w:tmpl w:val="306640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EA310DD"/>
    <w:multiLevelType w:val="hybridMultilevel"/>
    <w:tmpl w:val="6802A52A"/>
    <w:lvl w:ilvl="0" w:tplc="54BC4A1A">
      <w:start w:val="1"/>
      <w:numFmt w:val="decimal"/>
      <w:lvlText w:val="IV.%1"/>
      <w:lvlJc w:val="right"/>
      <w:pPr>
        <w:ind w:left="7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AA04ED"/>
    <w:multiLevelType w:val="hybridMultilevel"/>
    <w:tmpl w:val="4D788CCA"/>
    <w:lvl w:ilvl="0" w:tplc="FE2456CC">
      <w:start w:val="1"/>
      <w:numFmt w:val="decimal"/>
      <w:lvlText w:val="III.%1"/>
      <w:lvlJc w:val="right"/>
      <w:pPr>
        <w:ind w:left="7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9924F0"/>
    <w:multiLevelType w:val="hybridMultilevel"/>
    <w:tmpl w:val="802204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F37063"/>
    <w:multiLevelType w:val="hybridMultilevel"/>
    <w:tmpl w:val="9DDEF6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4BF79B4"/>
    <w:multiLevelType w:val="hybridMultilevel"/>
    <w:tmpl w:val="8F0057E6"/>
    <w:lvl w:ilvl="0" w:tplc="FFFFFFFF">
      <w:start w:val="1"/>
      <w:numFmt w:val="decimal"/>
      <w:lvlText w:val="%1."/>
      <w:lvlJc w:val="left"/>
      <w:pPr>
        <w:ind w:left="960" w:hanging="360"/>
      </w:p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7">
    <w:nsid w:val="28BA2FAD"/>
    <w:multiLevelType w:val="hybridMultilevel"/>
    <w:tmpl w:val="989AF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F97418"/>
    <w:multiLevelType w:val="multilevel"/>
    <w:tmpl w:val="18AA7522"/>
    <w:lvl w:ilvl="0">
      <w:start w:val="1"/>
      <w:numFmt w:val="decimal"/>
      <w:lvlText w:val="2.%1."/>
      <w:lvlJc w:val="left"/>
      <w:rPr>
        <w:rFonts w:ascii="Arial" w:eastAsia="Arial" w:hAnsi="Arial" w:cs="Arial"/>
        <w:b w:val="0"/>
        <w:bCs w:val="0"/>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3010E4"/>
    <w:multiLevelType w:val="hybridMultilevel"/>
    <w:tmpl w:val="275C4D8C"/>
    <w:lvl w:ilvl="0" w:tplc="54BC4A1A">
      <w:start w:val="1"/>
      <w:numFmt w:val="decimal"/>
      <w:lvlText w:val="IV.%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2077392"/>
    <w:multiLevelType w:val="hybridMultilevel"/>
    <w:tmpl w:val="CDDE7D4A"/>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21">
    <w:nsid w:val="33241D2F"/>
    <w:multiLevelType w:val="hybridMultilevel"/>
    <w:tmpl w:val="B59A5B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349044D3"/>
    <w:multiLevelType w:val="hybridMultilevel"/>
    <w:tmpl w:val="33989D5A"/>
    <w:lvl w:ilvl="0" w:tplc="BB16D766">
      <w:start w:val="1"/>
      <w:numFmt w:val="decimal"/>
      <w:lvlText w:val="VI.%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5A65E73"/>
    <w:multiLevelType w:val="hybridMultilevel"/>
    <w:tmpl w:val="5EDC9528"/>
    <w:lvl w:ilvl="0" w:tplc="04150017">
      <w:start w:val="1"/>
      <w:numFmt w:val="lowerLetter"/>
      <w:lvlText w:val="%1)"/>
      <w:lvlJc w:val="left"/>
      <w:pPr>
        <w:ind w:left="1680" w:hanging="360"/>
      </w:pPr>
    </w:lvl>
    <w:lvl w:ilvl="1" w:tplc="04150019" w:tentative="1">
      <w:start w:val="1"/>
      <w:numFmt w:val="lowerLetter"/>
      <w:lvlText w:val="%2."/>
      <w:lvlJc w:val="left"/>
      <w:pPr>
        <w:ind w:left="2400" w:hanging="360"/>
      </w:pPr>
    </w:lvl>
    <w:lvl w:ilvl="2" w:tplc="0415001B" w:tentative="1">
      <w:start w:val="1"/>
      <w:numFmt w:val="lowerRoman"/>
      <w:lvlText w:val="%3."/>
      <w:lvlJc w:val="right"/>
      <w:pPr>
        <w:ind w:left="3120" w:hanging="180"/>
      </w:pPr>
    </w:lvl>
    <w:lvl w:ilvl="3" w:tplc="0415000F" w:tentative="1">
      <w:start w:val="1"/>
      <w:numFmt w:val="decimal"/>
      <w:lvlText w:val="%4."/>
      <w:lvlJc w:val="left"/>
      <w:pPr>
        <w:ind w:left="3840" w:hanging="360"/>
      </w:pPr>
    </w:lvl>
    <w:lvl w:ilvl="4" w:tplc="04150019" w:tentative="1">
      <w:start w:val="1"/>
      <w:numFmt w:val="lowerLetter"/>
      <w:lvlText w:val="%5."/>
      <w:lvlJc w:val="left"/>
      <w:pPr>
        <w:ind w:left="4560" w:hanging="360"/>
      </w:pPr>
    </w:lvl>
    <w:lvl w:ilvl="5" w:tplc="0415001B" w:tentative="1">
      <w:start w:val="1"/>
      <w:numFmt w:val="lowerRoman"/>
      <w:lvlText w:val="%6."/>
      <w:lvlJc w:val="right"/>
      <w:pPr>
        <w:ind w:left="5280" w:hanging="180"/>
      </w:pPr>
    </w:lvl>
    <w:lvl w:ilvl="6" w:tplc="0415000F" w:tentative="1">
      <w:start w:val="1"/>
      <w:numFmt w:val="decimal"/>
      <w:lvlText w:val="%7."/>
      <w:lvlJc w:val="left"/>
      <w:pPr>
        <w:ind w:left="6000" w:hanging="360"/>
      </w:pPr>
    </w:lvl>
    <w:lvl w:ilvl="7" w:tplc="04150019" w:tentative="1">
      <w:start w:val="1"/>
      <w:numFmt w:val="lowerLetter"/>
      <w:lvlText w:val="%8."/>
      <w:lvlJc w:val="left"/>
      <w:pPr>
        <w:ind w:left="6720" w:hanging="360"/>
      </w:pPr>
    </w:lvl>
    <w:lvl w:ilvl="8" w:tplc="0415001B" w:tentative="1">
      <w:start w:val="1"/>
      <w:numFmt w:val="lowerRoman"/>
      <w:lvlText w:val="%9."/>
      <w:lvlJc w:val="right"/>
      <w:pPr>
        <w:ind w:left="7440" w:hanging="180"/>
      </w:pPr>
    </w:lvl>
  </w:abstractNum>
  <w:abstractNum w:abstractNumId="24">
    <w:nsid w:val="36AC1D39"/>
    <w:multiLevelType w:val="hybridMultilevel"/>
    <w:tmpl w:val="79DC86BA"/>
    <w:lvl w:ilvl="0" w:tplc="BB16D766">
      <w:start w:val="1"/>
      <w:numFmt w:val="decimal"/>
      <w:lvlText w:val="VI.%1"/>
      <w:lvlJc w:val="right"/>
      <w:pPr>
        <w:ind w:left="1103" w:hanging="360"/>
      </w:pPr>
      <w:rPr>
        <w:rFonts w:hint="default"/>
      </w:r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25">
    <w:nsid w:val="38C630FC"/>
    <w:multiLevelType w:val="hybridMultilevel"/>
    <w:tmpl w:val="5D5AA4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392049A4"/>
    <w:multiLevelType w:val="hybridMultilevel"/>
    <w:tmpl w:val="AE78BC00"/>
    <w:lvl w:ilvl="0" w:tplc="0415000F">
      <w:start w:val="1"/>
      <w:numFmt w:val="decimal"/>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27">
    <w:nsid w:val="3A657D8C"/>
    <w:multiLevelType w:val="hybridMultilevel"/>
    <w:tmpl w:val="90E2BA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CE27A77"/>
    <w:multiLevelType w:val="hybridMultilevel"/>
    <w:tmpl w:val="5A74A712"/>
    <w:lvl w:ilvl="0" w:tplc="04150013">
      <w:start w:val="1"/>
      <w:numFmt w:val="upperRoman"/>
      <w:lvlText w:val="%1."/>
      <w:lvlJc w:val="righ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9">
    <w:nsid w:val="40FE0039"/>
    <w:multiLevelType w:val="hybridMultilevel"/>
    <w:tmpl w:val="4C6C62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2AA41E3"/>
    <w:multiLevelType w:val="hybridMultilevel"/>
    <w:tmpl w:val="B55401F8"/>
    <w:lvl w:ilvl="0" w:tplc="0415000F">
      <w:start w:val="1"/>
      <w:numFmt w:val="decimal"/>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31">
    <w:nsid w:val="44F9344F"/>
    <w:multiLevelType w:val="hybridMultilevel"/>
    <w:tmpl w:val="D402F1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45494486"/>
    <w:multiLevelType w:val="hybridMultilevel"/>
    <w:tmpl w:val="460EDBEC"/>
    <w:lvl w:ilvl="0" w:tplc="7FF445FE">
      <w:start w:val="1"/>
      <w:numFmt w:val="decimal"/>
      <w:lvlText w:val="%1."/>
      <w:lvlJc w:val="left"/>
      <w:pPr>
        <w:ind w:left="960" w:hanging="360"/>
      </w:pPr>
      <w:rPr>
        <w:b w:val="0"/>
        <w:bCs w:val="0"/>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33">
    <w:nsid w:val="4B385E70"/>
    <w:multiLevelType w:val="hybridMultilevel"/>
    <w:tmpl w:val="B58074A2"/>
    <w:lvl w:ilvl="0" w:tplc="085AD3CE">
      <w:start w:val="1"/>
      <w:numFmt w:val="decimal"/>
      <w:lvlText w:val="I.%1"/>
      <w:lvlJc w:val="righ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E9E4FF1"/>
    <w:multiLevelType w:val="multilevel"/>
    <w:tmpl w:val="12ACA66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55A20EF"/>
    <w:multiLevelType w:val="hybridMultilevel"/>
    <w:tmpl w:val="75884F3C"/>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6">
    <w:nsid w:val="557232D0"/>
    <w:multiLevelType w:val="hybridMultilevel"/>
    <w:tmpl w:val="37FC28BE"/>
    <w:lvl w:ilvl="0" w:tplc="350206A8">
      <w:start w:val="1"/>
      <w:numFmt w:val="decimal"/>
      <w:lvlText w:val="V.%1"/>
      <w:lvlJc w:val="right"/>
      <w:pPr>
        <w:ind w:left="7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64C57E3"/>
    <w:multiLevelType w:val="hybridMultilevel"/>
    <w:tmpl w:val="B73606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3136A5"/>
    <w:multiLevelType w:val="hybridMultilevel"/>
    <w:tmpl w:val="4DEA7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CBB31B8"/>
    <w:multiLevelType w:val="hybridMultilevel"/>
    <w:tmpl w:val="5E52DF8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698F5E04"/>
    <w:multiLevelType w:val="hybridMultilevel"/>
    <w:tmpl w:val="9E9EBA06"/>
    <w:lvl w:ilvl="0" w:tplc="350206A8">
      <w:start w:val="1"/>
      <w:numFmt w:val="decimal"/>
      <w:lvlText w:val="V.%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C066D5"/>
    <w:multiLevelType w:val="hybridMultilevel"/>
    <w:tmpl w:val="ADEEFF72"/>
    <w:lvl w:ilvl="0" w:tplc="1256D2C0">
      <w:start w:val="1"/>
      <w:numFmt w:val="decimal"/>
      <w:lvlText w:val="I.%1"/>
      <w:lvlJc w:val="righ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nsid w:val="750931FC"/>
    <w:multiLevelType w:val="hybridMultilevel"/>
    <w:tmpl w:val="45B836EA"/>
    <w:lvl w:ilvl="0" w:tplc="350206A8">
      <w:start w:val="1"/>
      <w:numFmt w:val="decimal"/>
      <w:lvlText w:val="V.%1"/>
      <w:lvlJc w:val="right"/>
      <w:pPr>
        <w:ind w:left="1463" w:hanging="360"/>
      </w:pPr>
      <w:rPr>
        <w:rFonts w:hint="default"/>
      </w:rPr>
    </w:lvl>
    <w:lvl w:ilvl="1" w:tplc="04150019" w:tentative="1">
      <w:start w:val="1"/>
      <w:numFmt w:val="lowerLetter"/>
      <w:lvlText w:val="%2."/>
      <w:lvlJc w:val="left"/>
      <w:pPr>
        <w:ind w:left="2183" w:hanging="360"/>
      </w:pPr>
    </w:lvl>
    <w:lvl w:ilvl="2" w:tplc="0415001B" w:tentative="1">
      <w:start w:val="1"/>
      <w:numFmt w:val="lowerRoman"/>
      <w:lvlText w:val="%3."/>
      <w:lvlJc w:val="right"/>
      <w:pPr>
        <w:ind w:left="2903" w:hanging="180"/>
      </w:pPr>
    </w:lvl>
    <w:lvl w:ilvl="3" w:tplc="0415000F" w:tentative="1">
      <w:start w:val="1"/>
      <w:numFmt w:val="decimal"/>
      <w:lvlText w:val="%4."/>
      <w:lvlJc w:val="left"/>
      <w:pPr>
        <w:ind w:left="3623" w:hanging="360"/>
      </w:pPr>
    </w:lvl>
    <w:lvl w:ilvl="4" w:tplc="04150019" w:tentative="1">
      <w:start w:val="1"/>
      <w:numFmt w:val="lowerLetter"/>
      <w:lvlText w:val="%5."/>
      <w:lvlJc w:val="left"/>
      <w:pPr>
        <w:ind w:left="4343" w:hanging="360"/>
      </w:pPr>
    </w:lvl>
    <w:lvl w:ilvl="5" w:tplc="0415001B" w:tentative="1">
      <w:start w:val="1"/>
      <w:numFmt w:val="lowerRoman"/>
      <w:lvlText w:val="%6."/>
      <w:lvlJc w:val="right"/>
      <w:pPr>
        <w:ind w:left="5063" w:hanging="180"/>
      </w:pPr>
    </w:lvl>
    <w:lvl w:ilvl="6" w:tplc="0415000F" w:tentative="1">
      <w:start w:val="1"/>
      <w:numFmt w:val="decimal"/>
      <w:lvlText w:val="%7."/>
      <w:lvlJc w:val="left"/>
      <w:pPr>
        <w:ind w:left="5783" w:hanging="360"/>
      </w:pPr>
    </w:lvl>
    <w:lvl w:ilvl="7" w:tplc="04150019" w:tentative="1">
      <w:start w:val="1"/>
      <w:numFmt w:val="lowerLetter"/>
      <w:lvlText w:val="%8."/>
      <w:lvlJc w:val="left"/>
      <w:pPr>
        <w:ind w:left="6503" w:hanging="360"/>
      </w:pPr>
    </w:lvl>
    <w:lvl w:ilvl="8" w:tplc="0415001B" w:tentative="1">
      <w:start w:val="1"/>
      <w:numFmt w:val="lowerRoman"/>
      <w:lvlText w:val="%9."/>
      <w:lvlJc w:val="right"/>
      <w:pPr>
        <w:ind w:left="7223" w:hanging="180"/>
      </w:pPr>
    </w:lvl>
  </w:abstractNum>
  <w:abstractNum w:abstractNumId="43">
    <w:nsid w:val="78231755"/>
    <w:multiLevelType w:val="hybridMultilevel"/>
    <w:tmpl w:val="ACBE6BA8"/>
    <w:lvl w:ilvl="0" w:tplc="04150013">
      <w:start w:val="1"/>
      <w:numFmt w:val="upperRoman"/>
      <w:lvlText w:val="%1."/>
      <w:lvlJc w:val="righ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44">
    <w:nsid w:val="7962757C"/>
    <w:multiLevelType w:val="multilevel"/>
    <w:tmpl w:val="EA08E6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C5D5C99"/>
    <w:multiLevelType w:val="hybridMultilevel"/>
    <w:tmpl w:val="8AD69A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43"/>
  </w:num>
  <w:num w:numId="3">
    <w:abstractNumId w:val="33"/>
  </w:num>
  <w:num w:numId="4">
    <w:abstractNumId w:val="41"/>
  </w:num>
  <w:num w:numId="5">
    <w:abstractNumId w:val="13"/>
  </w:num>
  <w:num w:numId="6">
    <w:abstractNumId w:val="12"/>
  </w:num>
  <w:num w:numId="7">
    <w:abstractNumId w:val="36"/>
  </w:num>
  <w:num w:numId="8">
    <w:abstractNumId w:val="7"/>
  </w:num>
  <w:num w:numId="9">
    <w:abstractNumId w:val="28"/>
  </w:num>
  <w:num w:numId="10">
    <w:abstractNumId w:val="17"/>
  </w:num>
  <w:num w:numId="11">
    <w:abstractNumId w:val="34"/>
  </w:num>
  <w:num w:numId="12">
    <w:abstractNumId w:val="0"/>
  </w:num>
  <w:num w:numId="13">
    <w:abstractNumId w:val="2"/>
  </w:num>
  <w:num w:numId="14">
    <w:abstractNumId w:val="3"/>
  </w:num>
  <w:num w:numId="15">
    <w:abstractNumId w:val="21"/>
  </w:num>
  <w:num w:numId="16">
    <w:abstractNumId w:val="27"/>
  </w:num>
  <w:num w:numId="17">
    <w:abstractNumId w:val="4"/>
  </w:num>
  <w:num w:numId="18">
    <w:abstractNumId w:val="10"/>
  </w:num>
  <w:num w:numId="19">
    <w:abstractNumId w:val="15"/>
  </w:num>
  <w:num w:numId="20">
    <w:abstractNumId w:val="19"/>
  </w:num>
  <w:num w:numId="21">
    <w:abstractNumId w:val="14"/>
  </w:num>
  <w:num w:numId="22">
    <w:abstractNumId w:val="22"/>
  </w:num>
  <w:num w:numId="23">
    <w:abstractNumId w:val="24"/>
  </w:num>
  <w:num w:numId="24">
    <w:abstractNumId w:val="32"/>
  </w:num>
  <w:num w:numId="25">
    <w:abstractNumId w:val="16"/>
  </w:num>
  <w:num w:numId="26">
    <w:abstractNumId w:val="23"/>
  </w:num>
  <w:num w:numId="27">
    <w:abstractNumId w:val="35"/>
  </w:num>
  <w:num w:numId="28">
    <w:abstractNumId w:val="38"/>
  </w:num>
  <w:num w:numId="29">
    <w:abstractNumId w:val="26"/>
  </w:num>
  <w:num w:numId="30">
    <w:abstractNumId w:val="30"/>
  </w:num>
  <w:num w:numId="31">
    <w:abstractNumId w:val="45"/>
  </w:num>
  <w:num w:numId="32">
    <w:abstractNumId w:val="37"/>
  </w:num>
  <w:num w:numId="33">
    <w:abstractNumId w:val="29"/>
  </w:num>
  <w:num w:numId="34">
    <w:abstractNumId w:val="9"/>
  </w:num>
  <w:num w:numId="35">
    <w:abstractNumId w:val="1"/>
  </w:num>
  <w:num w:numId="36">
    <w:abstractNumId w:val="11"/>
  </w:num>
  <w:num w:numId="37">
    <w:abstractNumId w:val="8"/>
  </w:num>
  <w:num w:numId="38">
    <w:abstractNumId w:val="18"/>
  </w:num>
  <w:num w:numId="39">
    <w:abstractNumId w:val="44"/>
  </w:num>
  <w:num w:numId="40">
    <w:abstractNumId w:val="20"/>
  </w:num>
  <w:num w:numId="41">
    <w:abstractNumId w:val="5"/>
  </w:num>
  <w:num w:numId="42">
    <w:abstractNumId w:val="31"/>
  </w:num>
  <w:num w:numId="43">
    <w:abstractNumId w:val="39"/>
  </w:num>
  <w:num w:numId="44">
    <w:abstractNumId w:val="25"/>
  </w:num>
  <w:num w:numId="45">
    <w:abstractNumId w:val="42"/>
  </w:num>
  <w:num w:numId="46">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ADA"/>
    <w:rsid w:val="00015615"/>
    <w:rsid w:val="00073739"/>
    <w:rsid w:val="000828D1"/>
    <w:rsid w:val="000D1374"/>
    <w:rsid w:val="000D33E9"/>
    <w:rsid w:val="000D773B"/>
    <w:rsid w:val="000F0D7E"/>
    <w:rsid w:val="0010511D"/>
    <w:rsid w:val="001532A4"/>
    <w:rsid w:val="001B1D64"/>
    <w:rsid w:val="001D0496"/>
    <w:rsid w:val="001F515F"/>
    <w:rsid w:val="002201F6"/>
    <w:rsid w:val="0023113B"/>
    <w:rsid w:val="00241490"/>
    <w:rsid w:val="00274A89"/>
    <w:rsid w:val="00287B64"/>
    <w:rsid w:val="002A5BCA"/>
    <w:rsid w:val="002D4023"/>
    <w:rsid w:val="002D7402"/>
    <w:rsid w:val="003020B1"/>
    <w:rsid w:val="003121D7"/>
    <w:rsid w:val="003151BE"/>
    <w:rsid w:val="00324577"/>
    <w:rsid w:val="0032493D"/>
    <w:rsid w:val="00334EB3"/>
    <w:rsid w:val="00350768"/>
    <w:rsid w:val="00457381"/>
    <w:rsid w:val="00457B4E"/>
    <w:rsid w:val="00473A92"/>
    <w:rsid w:val="00486624"/>
    <w:rsid w:val="00492627"/>
    <w:rsid w:val="004927BB"/>
    <w:rsid w:val="00496761"/>
    <w:rsid w:val="004A5E02"/>
    <w:rsid w:val="004D3E73"/>
    <w:rsid w:val="00506BD2"/>
    <w:rsid w:val="00513A38"/>
    <w:rsid w:val="00523943"/>
    <w:rsid w:val="00544AC9"/>
    <w:rsid w:val="00545639"/>
    <w:rsid w:val="00557ADE"/>
    <w:rsid w:val="0059369A"/>
    <w:rsid w:val="005E5842"/>
    <w:rsid w:val="005F1DDD"/>
    <w:rsid w:val="00606616"/>
    <w:rsid w:val="00635372"/>
    <w:rsid w:val="006420F2"/>
    <w:rsid w:val="006557D1"/>
    <w:rsid w:val="00675644"/>
    <w:rsid w:val="007621B0"/>
    <w:rsid w:val="00776889"/>
    <w:rsid w:val="007C1374"/>
    <w:rsid w:val="007C477B"/>
    <w:rsid w:val="00813C06"/>
    <w:rsid w:val="0084245F"/>
    <w:rsid w:val="008456D4"/>
    <w:rsid w:val="008513BE"/>
    <w:rsid w:val="008A79C6"/>
    <w:rsid w:val="008C136A"/>
    <w:rsid w:val="008C19AA"/>
    <w:rsid w:val="008D3C12"/>
    <w:rsid w:val="008F11BC"/>
    <w:rsid w:val="00905DA0"/>
    <w:rsid w:val="00913C54"/>
    <w:rsid w:val="00960168"/>
    <w:rsid w:val="009B1830"/>
    <w:rsid w:val="009D0331"/>
    <w:rsid w:val="009D4A1C"/>
    <w:rsid w:val="009E5D83"/>
    <w:rsid w:val="00A32478"/>
    <w:rsid w:val="00A55E90"/>
    <w:rsid w:val="00AA240A"/>
    <w:rsid w:val="00AA6876"/>
    <w:rsid w:val="00AC27DA"/>
    <w:rsid w:val="00AD2146"/>
    <w:rsid w:val="00AD39EA"/>
    <w:rsid w:val="00AD492D"/>
    <w:rsid w:val="00B106C1"/>
    <w:rsid w:val="00B636E1"/>
    <w:rsid w:val="00BA6588"/>
    <w:rsid w:val="00BE25B9"/>
    <w:rsid w:val="00BF0405"/>
    <w:rsid w:val="00BF71A6"/>
    <w:rsid w:val="00C31056"/>
    <w:rsid w:val="00C55835"/>
    <w:rsid w:val="00C80D73"/>
    <w:rsid w:val="00C87CE3"/>
    <w:rsid w:val="00C95517"/>
    <w:rsid w:val="00CB6A1D"/>
    <w:rsid w:val="00CE5F32"/>
    <w:rsid w:val="00D12AD3"/>
    <w:rsid w:val="00D34CDE"/>
    <w:rsid w:val="00D407BD"/>
    <w:rsid w:val="00D40F0B"/>
    <w:rsid w:val="00D47A2D"/>
    <w:rsid w:val="00D561DF"/>
    <w:rsid w:val="00E066A1"/>
    <w:rsid w:val="00E23FCE"/>
    <w:rsid w:val="00E61ADA"/>
    <w:rsid w:val="00EA42B7"/>
    <w:rsid w:val="00EA6354"/>
    <w:rsid w:val="00F13854"/>
    <w:rsid w:val="00FD2B3F"/>
    <w:rsid w:val="00FD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B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paragraph" w:styleId="Nagwek1">
    <w:name w:val="heading 1"/>
    <w:basedOn w:val="Normalny"/>
    <w:next w:val="Normalny"/>
    <w:link w:val="Nagwek1Znak"/>
    <w:qFormat/>
    <w:rsid w:val="00CB6A1D"/>
    <w:pPr>
      <w:keepNext/>
      <w:widowControl/>
      <w:jc w:val="center"/>
      <w:outlineLvl w:val="0"/>
    </w:pPr>
    <w:rPr>
      <w:rFonts w:ascii="Times New Roman" w:eastAsia="Times New Roman" w:hAnsi="Times New Roman" w:cs="Times New Roman"/>
      <w:color w:val="auto"/>
      <w:sz w:val="28"/>
      <w:szCs w:val="20"/>
      <w:lang w:bidi="ar-SA"/>
    </w:rPr>
  </w:style>
  <w:style w:type="paragraph" w:styleId="Nagwek2">
    <w:name w:val="heading 2"/>
    <w:basedOn w:val="Normalny"/>
    <w:next w:val="Normalny"/>
    <w:link w:val="Nagwek2Znak"/>
    <w:semiHidden/>
    <w:unhideWhenUsed/>
    <w:qFormat/>
    <w:rsid w:val="00CB6A1D"/>
    <w:pPr>
      <w:keepNext/>
      <w:widowControl/>
      <w:jc w:val="center"/>
      <w:outlineLvl w:val="1"/>
    </w:pPr>
    <w:rPr>
      <w:rFonts w:ascii="Times New Roman" w:eastAsia="Times New Roman" w:hAnsi="Times New Roman" w:cs="Times New Roman"/>
      <w:b/>
      <w:color w:val="auto"/>
      <w:sz w:val="28"/>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8"/>
      <w:szCs w:val="18"/>
      <w:u w:val="none"/>
    </w:rPr>
  </w:style>
  <w:style w:type="character" w:customStyle="1" w:styleId="Stopka21">
    <w:name w:val="Stopka (2)"/>
    <w:basedOn w:val="Stopka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2"/>
    <w:rPr>
      <w:rFonts w:ascii="Times New Roman" w:eastAsia="Times New Roman" w:hAnsi="Times New Roman" w:cs="Times New Roman"/>
      <w:b w:val="0"/>
      <w:bCs w:val="0"/>
      <w:i w:val="0"/>
      <w:iCs w:val="0"/>
      <w:smallCaps w:val="0"/>
      <w:strike w:val="0"/>
      <w:sz w:val="15"/>
      <w:szCs w:val="15"/>
      <w:u w:val="none"/>
    </w:rPr>
  </w:style>
  <w:style w:type="character" w:customStyle="1" w:styleId="Stopka55pt">
    <w:name w:val="Stopka + 5;5 pt"/>
    <w:basedOn w:val="Stopka"/>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1"/>
      <w:szCs w:val="11"/>
      <w:u w:val="none"/>
    </w:rPr>
  </w:style>
  <w:style w:type="character" w:customStyle="1" w:styleId="Stopka4">
    <w:name w:val="Stopka (4)_"/>
    <w:basedOn w:val="Domylnaczcionkaakapitu"/>
    <w:link w:val="Stopka40"/>
    <w:rPr>
      <w:rFonts w:ascii="Times New Roman" w:eastAsia="Times New Roman" w:hAnsi="Times New Roman" w:cs="Times New Roman"/>
      <w:b w:val="0"/>
      <w:bCs w:val="0"/>
      <w:i w:val="0"/>
      <w:iCs w:val="0"/>
      <w:smallCaps w:val="0"/>
      <w:strike w:val="0"/>
      <w:sz w:val="20"/>
      <w:szCs w:val="20"/>
      <w:u w:val="none"/>
    </w:rPr>
  </w:style>
  <w:style w:type="character" w:customStyle="1" w:styleId="Stopka5">
    <w:name w:val="Stopka (5)_"/>
    <w:basedOn w:val="Domylnaczcionkaakapitu"/>
    <w:link w:val="Stopka50"/>
    <w:rPr>
      <w:rFonts w:ascii="Times New Roman" w:eastAsia="Times New Roman" w:hAnsi="Times New Roman" w:cs="Times New Roman"/>
      <w:b w:val="0"/>
      <w:bCs w:val="0"/>
      <w:i w:val="0"/>
      <w:iCs w:val="0"/>
      <w:smallCaps w:val="0"/>
      <w:strike w:val="0"/>
      <w:sz w:val="11"/>
      <w:szCs w:val="11"/>
      <w:u w:val="none"/>
    </w:rPr>
  </w:style>
  <w:style w:type="character" w:customStyle="1" w:styleId="Stopka1">
    <w:name w:val="Stopka1"/>
    <w:basedOn w:val="Stopka"/>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pl-PL" w:eastAsia="pl-PL" w:bidi="pl-PL"/>
    </w:rPr>
  </w:style>
  <w:style w:type="character" w:customStyle="1" w:styleId="StopkaKursywa">
    <w:name w:val="Stopka + Kursywa"/>
    <w:basedOn w:val="Stopk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
    <w:name w:val="Tekst treści (5)"/>
    <w:basedOn w:val="Domylnaczcionkaakapitu"/>
    <w:rPr>
      <w:rFonts w:ascii="Times New Roman" w:eastAsia="Times New Roman" w:hAnsi="Times New Roman" w:cs="Times New Roman"/>
      <w:b w:val="0"/>
      <w:bCs w:val="0"/>
      <w:i w:val="0"/>
      <w:iCs w:val="0"/>
      <w:smallCaps w:val="0"/>
      <w:strike w:val="0"/>
      <w:sz w:val="20"/>
      <w:szCs w:val="20"/>
      <w:u w:val="none"/>
    </w:rPr>
  </w:style>
  <w:style w:type="character" w:customStyle="1" w:styleId="Teksttreci50">
    <w:name w:val="Tekst treści (5)"/>
    <w:basedOn w:val="Teksttreci51"/>
    <w:rPr>
      <w:rFonts w:ascii="Times New Roman" w:eastAsia="Times New Roman" w:hAnsi="Times New Roman" w:cs="Times New Roman"/>
      <w:b w:val="0"/>
      <w:bCs w:val="0"/>
      <w:i w:val="0"/>
      <w:iCs w:val="0"/>
      <w:smallCaps w:val="0"/>
      <w:strike w:val="0"/>
      <w:color w:val="FFFFFF"/>
      <w:sz w:val="20"/>
      <w:szCs w:val="20"/>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2"/>
      <w:szCs w:val="12"/>
      <w:u w:val="none"/>
    </w:rPr>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spacing w:val="-20"/>
      <w:sz w:val="86"/>
      <w:szCs w:val="86"/>
      <w:u w:val="none"/>
    </w:rPr>
  </w:style>
  <w:style w:type="character" w:customStyle="1" w:styleId="Nagwek12">
    <w:name w:val="Nagłówek #1"/>
    <w:basedOn w:val="Nagwek10"/>
    <w:rPr>
      <w:rFonts w:ascii="Times New Roman" w:eastAsia="Times New Roman" w:hAnsi="Times New Roman" w:cs="Times New Roman"/>
      <w:b/>
      <w:bCs/>
      <w:i w:val="0"/>
      <w:iCs w:val="0"/>
      <w:smallCaps w:val="0"/>
      <w:strike w:val="0"/>
      <w:color w:val="000000"/>
      <w:spacing w:val="-20"/>
      <w:w w:val="100"/>
      <w:position w:val="0"/>
      <w:sz w:val="86"/>
      <w:szCs w:val="86"/>
      <w:u w:val="none"/>
      <w:lang w:val="pl-PL" w:eastAsia="pl-PL" w:bidi="pl-PL"/>
    </w:rPr>
  </w:style>
  <w:style w:type="character" w:customStyle="1" w:styleId="Nagwek20">
    <w:name w:val="Nagłówek #2_"/>
    <w:basedOn w:val="Domylnaczcionkaakapitu"/>
    <w:link w:val="Nagwek21"/>
    <w:rPr>
      <w:rFonts w:ascii="Times New Roman" w:eastAsia="Times New Roman" w:hAnsi="Times New Roman" w:cs="Times New Roman"/>
      <w:b/>
      <w:bCs/>
      <w:i w:val="0"/>
      <w:iCs w:val="0"/>
      <w:smallCaps w:val="0"/>
      <w:strike w:val="0"/>
      <w:spacing w:val="0"/>
      <w:sz w:val="50"/>
      <w:szCs w:val="50"/>
      <w:u w:val="none"/>
    </w:rPr>
  </w:style>
  <w:style w:type="character" w:customStyle="1" w:styleId="Nagwek22">
    <w:name w:val="Nagłówek #2"/>
    <w:basedOn w:val="Nagwek20"/>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Nagwek31">
    <w:name w:val="Nagłówek #3"/>
    <w:basedOn w:val="Nagwek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0"/>
      <w:szCs w:val="20"/>
      <w:u w:val="none"/>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1">
    <w:name w:val="Tekst treści (5)_"/>
    <w:basedOn w:val="Domylnaczcionkaakapitu"/>
    <w:link w:val="Teksttreci52"/>
    <w:rPr>
      <w:rFonts w:ascii="Times New Roman" w:eastAsia="Times New Roman" w:hAnsi="Times New Roman" w:cs="Times New Roman"/>
      <w:b w:val="0"/>
      <w:bCs w:val="0"/>
      <w:i w:val="0"/>
      <w:iCs w:val="0"/>
      <w:smallCaps w:val="0"/>
      <w:strike w:val="0"/>
      <w:sz w:val="20"/>
      <w:szCs w:val="20"/>
      <w:u w:val="none"/>
    </w:rPr>
  </w:style>
  <w:style w:type="character" w:customStyle="1" w:styleId="Teksttreci53">
    <w:name w:val="Tekst treści (5)"/>
    <w:basedOn w:val="Teksttreci5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Pogrubienie">
    <w:name w:val="Tekst treści (5) + Pogrubienie"/>
    <w:basedOn w:val="Teksttreci51"/>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
    <w:basedOn w:val="Domylnaczcionkaakapitu"/>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
    <w:basedOn w:val="Domylnaczcionkaakapitu"/>
    <w:rPr>
      <w:rFonts w:ascii="Times New Roman" w:eastAsia="Times New Roman" w:hAnsi="Times New Roman" w:cs="Times New Roman"/>
      <w:b w:val="0"/>
      <w:bCs w:val="0"/>
      <w:i w:val="0"/>
      <w:iCs w:val="0"/>
      <w:smallCaps w:val="0"/>
      <w:strike w:val="0"/>
      <w:sz w:val="15"/>
      <w:szCs w:val="15"/>
      <w:u w:val="none"/>
    </w:rPr>
  </w:style>
  <w:style w:type="character" w:customStyle="1" w:styleId="Teksttreci9BezpogrubieniaOdstpy0pt">
    <w:name w:val="Tekst treści (9) + Bez pogrubienia;Odstępy 0 pt"/>
    <w:basedOn w:val="Teksttreci90"/>
    <w:rPr>
      <w:rFonts w:ascii="Times New Roman" w:eastAsia="Times New Roman" w:hAnsi="Times New Roman" w:cs="Times New Roman"/>
      <w:b/>
      <w:bCs/>
      <w:i w:val="0"/>
      <w:iCs w:val="0"/>
      <w:smallCaps w:val="0"/>
      <w:strike w:val="0"/>
      <w:spacing w:val="-10"/>
      <w:sz w:val="20"/>
      <w:szCs w:val="20"/>
      <w:u w:val="none"/>
    </w:rPr>
  </w:style>
  <w:style w:type="character" w:customStyle="1" w:styleId="Teksttreci60">
    <w:name w:val="Tekst treści (6)_"/>
    <w:basedOn w:val="Domylnaczcionkaakapitu"/>
    <w:link w:val="Teksttreci61"/>
    <w:rPr>
      <w:rFonts w:ascii="Times New Roman" w:eastAsia="Times New Roman" w:hAnsi="Times New Roman" w:cs="Times New Roman"/>
      <w:b w:val="0"/>
      <w:bCs w:val="0"/>
      <w:i w:val="0"/>
      <w:iCs w:val="0"/>
      <w:smallCaps w:val="0"/>
      <w:strike w:val="0"/>
      <w:sz w:val="15"/>
      <w:szCs w:val="15"/>
      <w:u w:val="none"/>
    </w:rPr>
  </w:style>
  <w:style w:type="character" w:customStyle="1" w:styleId="Teksttreci62">
    <w:name w:val="Tekst treści (6)"/>
    <w:basedOn w:val="Teksttreci6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z w:val="18"/>
      <w:szCs w:val="18"/>
      <w:u w:val="none"/>
    </w:rPr>
  </w:style>
  <w:style w:type="character" w:customStyle="1" w:styleId="Teksttreci71">
    <w:name w:val="Tekst treści (7)"/>
    <w:basedOn w:val="Teksttreci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0"/>
      <w:szCs w:val="20"/>
      <w:u w:val="none"/>
    </w:rPr>
  </w:style>
  <w:style w:type="character" w:customStyle="1" w:styleId="Teksttreci81">
    <w:name w:val="Tekst treści (8)"/>
    <w:basedOn w:val="Teksttreci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sz w:val="20"/>
      <w:szCs w:val="20"/>
      <w:u w:val="none"/>
    </w:rPr>
  </w:style>
  <w:style w:type="character" w:customStyle="1" w:styleId="Nagweklubstopka65pt">
    <w:name w:val="Nagłówek lub stopka + 6;5 pt"/>
    <w:basedOn w:val="Nagweklubstopk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Impact55pt">
    <w:name w:val="Nagłówek lub stopka + Impact;5;5 pt"/>
    <w:basedOn w:val="Nagweklubstopka"/>
    <w:rPr>
      <w:rFonts w:ascii="Impact" w:eastAsia="Impact" w:hAnsi="Impact" w:cs="Impact"/>
      <w:b w:val="0"/>
      <w:bCs w:val="0"/>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90">
    <w:name w:val="Tekst treści (9)_"/>
    <w:basedOn w:val="Domylnaczcionkaakapitu"/>
    <w:link w:val="Teksttreci91"/>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Impact45ptKursywa">
    <w:name w:val="Tekst treści (2) + Impact;4;5 pt;Kursywa"/>
    <w:basedOn w:val="Teksttreci2"/>
    <w:rPr>
      <w:rFonts w:ascii="Impact" w:eastAsia="Impact" w:hAnsi="Impact" w:cs="Impact"/>
      <w:b/>
      <w:bCs/>
      <w:i/>
      <w:iCs/>
      <w:smallCaps w:val="0"/>
      <w:strike w:val="0"/>
      <w:color w:val="000000"/>
      <w:spacing w:val="0"/>
      <w:w w:val="100"/>
      <w:position w:val="0"/>
      <w:sz w:val="9"/>
      <w:szCs w:val="9"/>
      <w:u w:val="none"/>
      <w:lang w:val="pl-PL" w:eastAsia="pl-PL" w:bidi="pl-PL"/>
    </w:rPr>
  </w:style>
  <w:style w:type="character" w:customStyle="1" w:styleId="Teksttreci29pt">
    <w:name w:val="Tekst treści (2) + 9 pt"/>
    <w:basedOn w:val="Teksttreci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75pt">
    <w:name w:val="Tekst treści (2) + 7;5 pt"/>
    <w:basedOn w:val="Teksttrec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14pt">
    <w:name w:val="Pogrubienie;Tekst treści (2) + 14 pt"/>
    <w:basedOn w:val="Teksttreci2"/>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Teksttreci25pt">
    <w:name w:val="Tekst treści (2) + 5 pt"/>
    <w:basedOn w:val="Teksttreci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paragraph" w:customStyle="1" w:styleId="Stopka20">
    <w:name w:val="Stopka (2)"/>
    <w:basedOn w:val="Normalny"/>
    <w:link w:val="Stopka2"/>
    <w:pPr>
      <w:shd w:val="clear" w:color="auto" w:fill="FFFFFF"/>
      <w:spacing w:line="221" w:lineRule="exact"/>
      <w:ind w:hanging="360"/>
    </w:pPr>
    <w:rPr>
      <w:rFonts w:ascii="Times New Roman" w:eastAsia="Times New Roman" w:hAnsi="Times New Roman" w:cs="Times New Roman"/>
      <w:sz w:val="18"/>
      <w:szCs w:val="18"/>
    </w:rPr>
  </w:style>
  <w:style w:type="paragraph" w:customStyle="1" w:styleId="Stopka22">
    <w:name w:val="Stopka2"/>
    <w:basedOn w:val="Normalny"/>
    <w:link w:val="Stopka"/>
    <w:pPr>
      <w:shd w:val="clear" w:color="auto" w:fill="FFFFFF"/>
      <w:spacing w:line="0" w:lineRule="atLeast"/>
      <w:jc w:val="both"/>
    </w:pPr>
    <w:rPr>
      <w:rFonts w:ascii="Times New Roman" w:eastAsia="Times New Roman" w:hAnsi="Times New Roman" w:cs="Times New Roman"/>
      <w:sz w:val="15"/>
      <w:szCs w:val="15"/>
    </w:rPr>
  </w:style>
  <w:style w:type="paragraph" w:customStyle="1" w:styleId="Stopka30">
    <w:name w:val="Stopka (3)"/>
    <w:basedOn w:val="Normalny"/>
    <w:link w:val="Stopka3"/>
    <w:pPr>
      <w:shd w:val="clear" w:color="auto" w:fill="FFFFFF"/>
      <w:spacing w:line="0" w:lineRule="atLeast"/>
    </w:pPr>
    <w:rPr>
      <w:rFonts w:ascii="Times New Roman" w:eastAsia="Times New Roman" w:hAnsi="Times New Roman" w:cs="Times New Roman"/>
      <w:sz w:val="11"/>
      <w:szCs w:val="11"/>
    </w:rPr>
  </w:style>
  <w:style w:type="paragraph" w:customStyle="1" w:styleId="Stopka40">
    <w:name w:val="Stopka (4)"/>
    <w:basedOn w:val="Normalny"/>
    <w:link w:val="Stopka4"/>
    <w:pPr>
      <w:shd w:val="clear" w:color="auto" w:fill="FFFFFF"/>
      <w:spacing w:line="0" w:lineRule="atLeast"/>
    </w:pPr>
    <w:rPr>
      <w:rFonts w:ascii="Times New Roman" w:eastAsia="Times New Roman" w:hAnsi="Times New Roman" w:cs="Times New Roman"/>
      <w:sz w:val="20"/>
      <w:szCs w:val="20"/>
    </w:rPr>
  </w:style>
  <w:style w:type="paragraph" w:customStyle="1" w:styleId="Stopka50">
    <w:name w:val="Stopka (5)"/>
    <w:basedOn w:val="Normalny"/>
    <w:link w:val="Stopka5"/>
    <w:pPr>
      <w:shd w:val="clear" w:color="auto" w:fill="FFFFFF"/>
      <w:spacing w:line="0" w:lineRule="atLeast"/>
    </w:pPr>
    <w:rPr>
      <w:rFonts w:ascii="Times New Roman" w:eastAsia="Times New Roman" w:hAnsi="Times New Roman" w:cs="Times New Roman"/>
      <w:sz w:val="11"/>
      <w:szCs w:val="11"/>
    </w:rPr>
  </w:style>
  <w:style w:type="paragraph" w:customStyle="1" w:styleId="Teksttreci52">
    <w:name w:val="Tekst treści (5)"/>
    <w:basedOn w:val="Normalny"/>
    <w:link w:val="Teksttreci51"/>
    <w:pPr>
      <w:shd w:val="clear" w:color="auto" w:fill="FFFFFF"/>
      <w:spacing w:line="0" w:lineRule="atLeas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line="125" w:lineRule="exact"/>
    </w:pPr>
    <w:rPr>
      <w:rFonts w:ascii="Times New Roman" w:eastAsia="Times New Roman" w:hAnsi="Times New Roman" w:cs="Times New Roman"/>
      <w:sz w:val="12"/>
      <w:szCs w:val="12"/>
    </w:rPr>
  </w:style>
  <w:style w:type="paragraph" w:customStyle="1" w:styleId="Nagwek11">
    <w:name w:val="Nagłówek #1"/>
    <w:basedOn w:val="Normalny"/>
    <w:link w:val="Nagwek10"/>
    <w:pPr>
      <w:shd w:val="clear" w:color="auto" w:fill="FFFFFF"/>
      <w:spacing w:line="0" w:lineRule="atLeast"/>
      <w:jc w:val="right"/>
      <w:outlineLvl w:val="0"/>
    </w:pPr>
    <w:rPr>
      <w:rFonts w:ascii="Times New Roman" w:eastAsia="Times New Roman" w:hAnsi="Times New Roman" w:cs="Times New Roman"/>
      <w:b/>
      <w:bCs/>
      <w:spacing w:val="-20"/>
      <w:sz w:val="86"/>
      <w:szCs w:val="86"/>
    </w:rPr>
  </w:style>
  <w:style w:type="paragraph" w:customStyle="1" w:styleId="Nagwek21">
    <w:name w:val="Nagłówek #2"/>
    <w:basedOn w:val="Normalny"/>
    <w:link w:val="Nagwek20"/>
    <w:pPr>
      <w:shd w:val="clear" w:color="auto" w:fill="FFFFFF"/>
      <w:spacing w:line="0" w:lineRule="atLeast"/>
      <w:jc w:val="right"/>
      <w:outlineLvl w:val="1"/>
    </w:pPr>
    <w:rPr>
      <w:rFonts w:ascii="Times New Roman" w:eastAsia="Times New Roman" w:hAnsi="Times New Roman" w:cs="Times New Roman"/>
      <w:b/>
      <w:bCs/>
      <w:sz w:val="50"/>
      <w:szCs w:val="50"/>
    </w:rPr>
  </w:style>
  <w:style w:type="paragraph" w:customStyle="1" w:styleId="Nagwek30">
    <w:name w:val="Nagłówek #3"/>
    <w:basedOn w:val="Normalny"/>
    <w:link w:val="Nagwek3"/>
    <w:pPr>
      <w:shd w:val="clear" w:color="auto" w:fill="FFFFFF"/>
      <w:spacing w:line="0" w:lineRule="atLeast"/>
      <w:jc w:val="center"/>
      <w:outlineLvl w:val="2"/>
    </w:pPr>
    <w:rPr>
      <w:rFonts w:ascii="Times New Roman" w:eastAsia="Times New Roman" w:hAnsi="Times New Roman" w:cs="Times New Roman"/>
      <w:sz w:val="28"/>
      <w:szCs w:val="28"/>
    </w:rPr>
  </w:style>
  <w:style w:type="paragraph" w:customStyle="1" w:styleId="Teksttreci40">
    <w:name w:val="Tekst treści (4)"/>
    <w:basedOn w:val="Normalny"/>
    <w:link w:val="Teksttreci4"/>
    <w:pPr>
      <w:shd w:val="clear" w:color="auto" w:fill="FFFFFF"/>
      <w:spacing w:line="298" w:lineRule="exact"/>
      <w:ind w:hanging="700"/>
      <w:jc w:val="center"/>
    </w:pPr>
    <w:rPr>
      <w:rFonts w:ascii="Times New Roman" w:eastAsia="Times New Roman" w:hAnsi="Times New Roman" w:cs="Times New Roman"/>
      <w:b/>
      <w:bCs/>
      <w:sz w:val="20"/>
      <w:szCs w:val="20"/>
    </w:rPr>
  </w:style>
  <w:style w:type="paragraph" w:customStyle="1" w:styleId="Teksttreci91">
    <w:name w:val="Tekst treści (9)"/>
    <w:basedOn w:val="Normalny"/>
    <w:link w:val="Teksttreci90"/>
    <w:pPr>
      <w:shd w:val="clear" w:color="auto" w:fill="FFFFFF"/>
      <w:spacing w:line="0" w:lineRule="atLeast"/>
      <w:ind w:hanging="360"/>
      <w:jc w:val="center"/>
    </w:pPr>
    <w:rPr>
      <w:rFonts w:ascii="Times New Roman" w:eastAsia="Times New Roman" w:hAnsi="Times New Roman" w:cs="Times New Roman"/>
      <w:b/>
      <w:bCs/>
      <w:sz w:val="20"/>
      <w:szCs w:val="20"/>
    </w:rPr>
  </w:style>
  <w:style w:type="paragraph" w:customStyle="1" w:styleId="Teksttreci61">
    <w:name w:val="Tekst treści (6)"/>
    <w:basedOn w:val="Normalny"/>
    <w:link w:val="Teksttreci60"/>
    <w:pPr>
      <w:shd w:val="clear" w:color="auto" w:fill="FFFFFF"/>
      <w:spacing w:line="182" w:lineRule="exact"/>
      <w:jc w:val="both"/>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pPr>
      <w:shd w:val="clear" w:color="auto" w:fill="FFFFFF"/>
      <w:spacing w:line="0" w:lineRule="atLeast"/>
      <w:jc w:val="right"/>
    </w:pPr>
    <w:rPr>
      <w:rFonts w:ascii="Times New Roman" w:eastAsia="Times New Roman" w:hAnsi="Times New Roman" w:cs="Times New Roman"/>
      <w:b/>
      <w:bCs/>
      <w:sz w:val="18"/>
      <w:szCs w:val="18"/>
    </w:rPr>
  </w:style>
  <w:style w:type="paragraph" w:customStyle="1" w:styleId="Teksttreci80">
    <w:name w:val="Tekst treści (8)"/>
    <w:basedOn w:val="Normalny"/>
    <w:link w:val="Teksttreci8"/>
    <w:pPr>
      <w:shd w:val="clear" w:color="auto" w:fill="FFFFFF"/>
      <w:spacing w:line="0" w:lineRule="atLeast"/>
      <w:jc w:val="center"/>
    </w:pPr>
    <w:rPr>
      <w:rFonts w:ascii="Times New Roman" w:eastAsia="Times New Roman" w:hAnsi="Times New Roman" w:cs="Times New Roman"/>
      <w:i/>
      <w:iCs/>
      <w:sz w:val="20"/>
      <w:szCs w:val="20"/>
    </w:rPr>
  </w:style>
  <w:style w:type="paragraph" w:customStyle="1" w:styleId="Nagwek40">
    <w:name w:val="Nagłówek #4"/>
    <w:basedOn w:val="Normalny"/>
    <w:link w:val="Nagwek4"/>
    <w:pPr>
      <w:shd w:val="clear" w:color="auto" w:fill="FFFFFF"/>
      <w:spacing w:line="0" w:lineRule="atLeast"/>
      <w:jc w:val="center"/>
      <w:outlineLvl w:val="3"/>
    </w:pPr>
    <w:rPr>
      <w:rFonts w:ascii="Times New Roman" w:eastAsia="Times New Roman" w:hAnsi="Times New Roman" w:cs="Times New Roman"/>
      <w:b/>
      <w:bCs/>
      <w:sz w:val="20"/>
      <w:szCs w:val="20"/>
    </w:rPr>
  </w:style>
  <w:style w:type="paragraph" w:customStyle="1" w:styleId="Teksttreci20">
    <w:name w:val="Tekst treści (2)"/>
    <w:basedOn w:val="Normalny"/>
    <w:link w:val="Teksttreci2"/>
    <w:pPr>
      <w:shd w:val="clear" w:color="auto" w:fill="FFFFFF"/>
      <w:spacing w:line="379" w:lineRule="exact"/>
      <w:ind w:hanging="420"/>
      <w:jc w:val="both"/>
    </w:pPr>
    <w:rPr>
      <w:rFonts w:ascii="Times New Roman" w:eastAsia="Times New Roman" w:hAnsi="Times New Roman" w:cs="Times New Roman"/>
      <w:sz w:val="22"/>
      <w:szCs w:val="22"/>
    </w:rPr>
  </w:style>
  <w:style w:type="paragraph" w:styleId="Stopka0">
    <w:name w:val="footer"/>
    <w:basedOn w:val="Normalny"/>
    <w:link w:val="StopkaZnak"/>
    <w:uiPriority w:val="99"/>
    <w:unhideWhenUsed/>
    <w:rsid w:val="00496761"/>
    <w:pPr>
      <w:tabs>
        <w:tab w:val="center" w:pos="4536"/>
        <w:tab w:val="right" w:pos="9072"/>
      </w:tabs>
    </w:pPr>
  </w:style>
  <w:style w:type="character" w:customStyle="1" w:styleId="StopkaZnak">
    <w:name w:val="Stopka Znak"/>
    <w:basedOn w:val="Domylnaczcionkaakapitu"/>
    <w:link w:val="Stopka0"/>
    <w:uiPriority w:val="99"/>
    <w:rsid w:val="00496761"/>
    <w:rPr>
      <w:color w:val="000000"/>
    </w:rPr>
  </w:style>
  <w:style w:type="paragraph" w:styleId="Nagwek">
    <w:name w:val="header"/>
    <w:basedOn w:val="Normalny"/>
    <w:link w:val="NagwekZnak"/>
    <w:uiPriority w:val="99"/>
    <w:unhideWhenUsed/>
    <w:rsid w:val="00496761"/>
    <w:pPr>
      <w:tabs>
        <w:tab w:val="center" w:pos="4536"/>
        <w:tab w:val="right" w:pos="9072"/>
      </w:tabs>
    </w:pPr>
  </w:style>
  <w:style w:type="character" w:customStyle="1" w:styleId="NagwekZnak">
    <w:name w:val="Nagłówek Znak"/>
    <w:basedOn w:val="Domylnaczcionkaakapitu"/>
    <w:link w:val="Nagwek"/>
    <w:uiPriority w:val="99"/>
    <w:rsid w:val="00496761"/>
    <w:rPr>
      <w:color w:val="000000"/>
    </w:rPr>
  </w:style>
  <w:style w:type="character" w:styleId="Odwoanieprzypisudolnego">
    <w:name w:val="footnote reference"/>
    <w:basedOn w:val="Domylnaczcionkaakapitu"/>
    <w:uiPriority w:val="99"/>
    <w:unhideWhenUsed/>
    <w:rsid w:val="00905DA0"/>
    <w:rPr>
      <w:vertAlign w:val="superscript"/>
    </w:rPr>
  </w:style>
  <w:style w:type="paragraph" w:styleId="Tekstprzypisudolnego">
    <w:name w:val="footnote text"/>
    <w:basedOn w:val="Normalny"/>
    <w:link w:val="TekstprzypisudolnegoZnak"/>
    <w:uiPriority w:val="99"/>
    <w:semiHidden/>
    <w:unhideWhenUsed/>
    <w:rsid w:val="007C477B"/>
    <w:rPr>
      <w:sz w:val="20"/>
      <w:szCs w:val="20"/>
    </w:rPr>
  </w:style>
  <w:style w:type="character" w:customStyle="1" w:styleId="TekstprzypisudolnegoZnak">
    <w:name w:val="Tekst przypisu dolnego Znak"/>
    <w:basedOn w:val="Domylnaczcionkaakapitu"/>
    <w:link w:val="Tekstprzypisudolnego"/>
    <w:uiPriority w:val="99"/>
    <w:semiHidden/>
    <w:rsid w:val="007C477B"/>
    <w:rPr>
      <w:color w:val="000000"/>
      <w:sz w:val="20"/>
      <w:szCs w:val="20"/>
    </w:rPr>
  </w:style>
  <w:style w:type="character" w:customStyle="1" w:styleId="Teksttreci">
    <w:name w:val="Tekst treści_"/>
    <w:basedOn w:val="Domylnaczcionkaakapitu"/>
    <w:link w:val="Teksttreci0"/>
    <w:rsid w:val="00544AC9"/>
    <w:rPr>
      <w:rFonts w:ascii="Arial" w:eastAsia="Arial" w:hAnsi="Arial" w:cs="Arial"/>
      <w:sz w:val="20"/>
      <w:szCs w:val="20"/>
    </w:rPr>
  </w:style>
  <w:style w:type="character" w:customStyle="1" w:styleId="Inne">
    <w:name w:val="Inne_"/>
    <w:basedOn w:val="Domylnaczcionkaakapitu"/>
    <w:link w:val="Inne0"/>
    <w:rsid w:val="00544AC9"/>
    <w:rPr>
      <w:rFonts w:ascii="Arial" w:eastAsia="Arial" w:hAnsi="Arial" w:cs="Arial"/>
      <w:sz w:val="20"/>
      <w:szCs w:val="20"/>
    </w:rPr>
  </w:style>
  <w:style w:type="paragraph" w:customStyle="1" w:styleId="Teksttreci0">
    <w:name w:val="Tekst treści"/>
    <w:basedOn w:val="Normalny"/>
    <w:link w:val="Teksttreci"/>
    <w:rsid w:val="00544AC9"/>
    <w:pPr>
      <w:spacing w:after="120"/>
    </w:pPr>
    <w:rPr>
      <w:rFonts w:ascii="Arial" w:eastAsia="Arial" w:hAnsi="Arial" w:cs="Arial"/>
      <w:color w:val="auto"/>
      <w:sz w:val="20"/>
      <w:szCs w:val="20"/>
    </w:rPr>
  </w:style>
  <w:style w:type="paragraph" w:customStyle="1" w:styleId="Inne0">
    <w:name w:val="Inne"/>
    <w:basedOn w:val="Normalny"/>
    <w:link w:val="Inne"/>
    <w:rsid w:val="00544AC9"/>
    <w:pPr>
      <w:spacing w:after="120"/>
    </w:pPr>
    <w:rPr>
      <w:rFonts w:ascii="Arial" w:eastAsia="Arial" w:hAnsi="Arial" w:cs="Arial"/>
      <w:color w:val="auto"/>
      <w:sz w:val="20"/>
      <w:szCs w:val="20"/>
    </w:rPr>
  </w:style>
  <w:style w:type="character" w:customStyle="1" w:styleId="Podpistabeli">
    <w:name w:val="Podpis tabeli_"/>
    <w:basedOn w:val="Domylnaczcionkaakapitu"/>
    <w:link w:val="Podpistabeli0"/>
    <w:rsid w:val="00C95517"/>
    <w:rPr>
      <w:rFonts w:ascii="Arial" w:eastAsia="Arial" w:hAnsi="Arial" w:cs="Arial"/>
      <w:sz w:val="20"/>
      <w:szCs w:val="20"/>
    </w:rPr>
  </w:style>
  <w:style w:type="paragraph" w:customStyle="1" w:styleId="Podpistabeli0">
    <w:name w:val="Podpis tabeli"/>
    <w:basedOn w:val="Normalny"/>
    <w:link w:val="Podpistabeli"/>
    <w:rsid w:val="00C95517"/>
    <w:rPr>
      <w:rFonts w:ascii="Arial" w:eastAsia="Arial" w:hAnsi="Arial" w:cs="Arial"/>
      <w:color w:val="auto"/>
      <w:sz w:val="20"/>
      <w:szCs w:val="20"/>
    </w:rPr>
  </w:style>
  <w:style w:type="character" w:customStyle="1" w:styleId="UnresolvedMention">
    <w:name w:val="Unresolved Mention"/>
    <w:basedOn w:val="Domylnaczcionkaakapitu"/>
    <w:uiPriority w:val="99"/>
    <w:semiHidden/>
    <w:unhideWhenUsed/>
    <w:rsid w:val="00675644"/>
    <w:rPr>
      <w:color w:val="605E5C"/>
      <w:shd w:val="clear" w:color="auto" w:fill="E1DFDD"/>
    </w:rPr>
  </w:style>
  <w:style w:type="character" w:customStyle="1" w:styleId="markedcontent">
    <w:name w:val="markedcontent"/>
    <w:basedOn w:val="Domylnaczcionkaakapitu"/>
    <w:rsid w:val="00B636E1"/>
  </w:style>
  <w:style w:type="table" w:styleId="Tabela-Siatka">
    <w:name w:val="Table Grid"/>
    <w:basedOn w:val="Standardowy"/>
    <w:uiPriority w:val="59"/>
    <w:rsid w:val="0010511D"/>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CB6A1D"/>
    <w:rPr>
      <w:rFonts w:ascii="Times New Roman" w:eastAsia="Times New Roman" w:hAnsi="Times New Roman" w:cs="Times New Roman"/>
      <w:sz w:val="28"/>
      <w:szCs w:val="20"/>
      <w:lang w:bidi="ar-SA"/>
    </w:rPr>
  </w:style>
  <w:style w:type="character" w:customStyle="1" w:styleId="Nagwek2Znak">
    <w:name w:val="Nagłówek 2 Znak"/>
    <w:basedOn w:val="Domylnaczcionkaakapitu"/>
    <w:link w:val="Nagwek2"/>
    <w:semiHidden/>
    <w:rsid w:val="00CB6A1D"/>
    <w:rPr>
      <w:rFonts w:ascii="Times New Roman" w:eastAsia="Times New Roman" w:hAnsi="Times New Roman" w:cs="Times New Roman"/>
      <w:b/>
      <w:sz w:val="28"/>
      <w:szCs w:val="20"/>
      <w:lang w:bidi="ar-SA"/>
    </w:rPr>
  </w:style>
  <w:style w:type="character" w:customStyle="1" w:styleId="Teksttreci9Bezpogrubienia">
    <w:name w:val="Tekst treści (9) + Bez pogrubienia"/>
    <w:aliases w:val="Odstępy 0 pt"/>
    <w:basedOn w:val="Domylnaczcionkaakapitu"/>
    <w:rsid w:val="00CB6A1D"/>
    <w:rPr>
      <w:rFonts w:ascii="Times New Roman" w:eastAsia="Times New Roman" w:hAnsi="Times New Roman" w:cs="Times New Roman" w:hint="default"/>
      <w:b/>
      <w:bCs/>
      <w:i w:val="0"/>
      <w:iCs w:val="0"/>
      <w:smallCaps w:val="0"/>
      <w:strike w:val="0"/>
      <w:dstrike w:val="0"/>
      <w:spacing w:val="-1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paragraph" w:styleId="Nagwek1">
    <w:name w:val="heading 1"/>
    <w:basedOn w:val="Normalny"/>
    <w:next w:val="Normalny"/>
    <w:link w:val="Nagwek1Znak"/>
    <w:qFormat/>
    <w:rsid w:val="00CB6A1D"/>
    <w:pPr>
      <w:keepNext/>
      <w:widowControl/>
      <w:jc w:val="center"/>
      <w:outlineLvl w:val="0"/>
    </w:pPr>
    <w:rPr>
      <w:rFonts w:ascii="Times New Roman" w:eastAsia="Times New Roman" w:hAnsi="Times New Roman" w:cs="Times New Roman"/>
      <w:color w:val="auto"/>
      <w:sz w:val="28"/>
      <w:szCs w:val="20"/>
      <w:lang w:bidi="ar-SA"/>
    </w:rPr>
  </w:style>
  <w:style w:type="paragraph" w:styleId="Nagwek2">
    <w:name w:val="heading 2"/>
    <w:basedOn w:val="Normalny"/>
    <w:next w:val="Normalny"/>
    <w:link w:val="Nagwek2Znak"/>
    <w:semiHidden/>
    <w:unhideWhenUsed/>
    <w:qFormat/>
    <w:rsid w:val="00CB6A1D"/>
    <w:pPr>
      <w:keepNext/>
      <w:widowControl/>
      <w:jc w:val="center"/>
      <w:outlineLvl w:val="1"/>
    </w:pPr>
    <w:rPr>
      <w:rFonts w:ascii="Times New Roman" w:eastAsia="Times New Roman" w:hAnsi="Times New Roman" w:cs="Times New Roman"/>
      <w:b/>
      <w:color w:val="auto"/>
      <w:sz w:val="28"/>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8"/>
      <w:szCs w:val="18"/>
      <w:u w:val="none"/>
    </w:rPr>
  </w:style>
  <w:style w:type="character" w:customStyle="1" w:styleId="Stopka21">
    <w:name w:val="Stopka (2)"/>
    <w:basedOn w:val="Stopka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2"/>
    <w:rPr>
      <w:rFonts w:ascii="Times New Roman" w:eastAsia="Times New Roman" w:hAnsi="Times New Roman" w:cs="Times New Roman"/>
      <w:b w:val="0"/>
      <w:bCs w:val="0"/>
      <w:i w:val="0"/>
      <w:iCs w:val="0"/>
      <w:smallCaps w:val="0"/>
      <w:strike w:val="0"/>
      <w:sz w:val="15"/>
      <w:szCs w:val="15"/>
      <w:u w:val="none"/>
    </w:rPr>
  </w:style>
  <w:style w:type="character" w:customStyle="1" w:styleId="Stopka55pt">
    <w:name w:val="Stopka + 5;5 pt"/>
    <w:basedOn w:val="Stopka"/>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1"/>
      <w:szCs w:val="11"/>
      <w:u w:val="none"/>
    </w:rPr>
  </w:style>
  <w:style w:type="character" w:customStyle="1" w:styleId="Stopka4">
    <w:name w:val="Stopka (4)_"/>
    <w:basedOn w:val="Domylnaczcionkaakapitu"/>
    <w:link w:val="Stopka40"/>
    <w:rPr>
      <w:rFonts w:ascii="Times New Roman" w:eastAsia="Times New Roman" w:hAnsi="Times New Roman" w:cs="Times New Roman"/>
      <w:b w:val="0"/>
      <w:bCs w:val="0"/>
      <w:i w:val="0"/>
      <w:iCs w:val="0"/>
      <w:smallCaps w:val="0"/>
      <w:strike w:val="0"/>
      <w:sz w:val="20"/>
      <w:szCs w:val="20"/>
      <w:u w:val="none"/>
    </w:rPr>
  </w:style>
  <w:style w:type="character" w:customStyle="1" w:styleId="Stopka5">
    <w:name w:val="Stopka (5)_"/>
    <w:basedOn w:val="Domylnaczcionkaakapitu"/>
    <w:link w:val="Stopka50"/>
    <w:rPr>
      <w:rFonts w:ascii="Times New Roman" w:eastAsia="Times New Roman" w:hAnsi="Times New Roman" w:cs="Times New Roman"/>
      <w:b w:val="0"/>
      <w:bCs w:val="0"/>
      <w:i w:val="0"/>
      <w:iCs w:val="0"/>
      <w:smallCaps w:val="0"/>
      <w:strike w:val="0"/>
      <w:sz w:val="11"/>
      <w:szCs w:val="11"/>
      <w:u w:val="none"/>
    </w:rPr>
  </w:style>
  <w:style w:type="character" w:customStyle="1" w:styleId="Stopka1">
    <w:name w:val="Stopka1"/>
    <w:basedOn w:val="Stopka"/>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pl-PL" w:eastAsia="pl-PL" w:bidi="pl-PL"/>
    </w:rPr>
  </w:style>
  <w:style w:type="character" w:customStyle="1" w:styleId="StopkaKursywa">
    <w:name w:val="Stopka + Kursywa"/>
    <w:basedOn w:val="Stopk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
    <w:name w:val="Tekst treści (5)"/>
    <w:basedOn w:val="Domylnaczcionkaakapitu"/>
    <w:rPr>
      <w:rFonts w:ascii="Times New Roman" w:eastAsia="Times New Roman" w:hAnsi="Times New Roman" w:cs="Times New Roman"/>
      <w:b w:val="0"/>
      <w:bCs w:val="0"/>
      <w:i w:val="0"/>
      <w:iCs w:val="0"/>
      <w:smallCaps w:val="0"/>
      <w:strike w:val="0"/>
      <w:sz w:val="20"/>
      <w:szCs w:val="20"/>
      <w:u w:val="none"/>
    </w:rPr>
  </w:style>
  <w:style w:type="character" w:customStyle="1" w:styleId="Teksttreci50">
    <w:name w:val="Tekst treści (5)"/>
    <w:basedOn w:val="Teksttreci51"/>
    <w:rPr>
      <w:rFonts w:ascii="Times New Roman" w:eastAsia="Times New Roman" w:hAnsi="Times New Roman" w:cs="Times New Roman"/>
      <w:b w:val="0"/>
      <w:bCs w:val="0"/>
      <w:i w:val="0"/>
      <w:iCs w:val="0"/>
      <w:smallCaps w:val="0"/>
      <w:strike w:val="0"/>
      <w:color w:val="FFFFFF"/>
      <w:sz w:val="20"/>
      <w:szCs w:val="20"/>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2"/>
      <w:szCs w:val="12"/>
      <w:u w:val="none"/>
    </w:rPr>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spacing w:val="-20"/>
      <w:sz w:val="86"/>
      <w:szCs w:val="86"/>
      <w:u w:val="none"/>
    </w:rPr>
  </w:style>
  <w:style w:type="character" w:customStyle="1" w:styleId="Nagwek12">
    <w:name w:val="Nagłówek #1"/>
    <w:basedOn w:val="Nagwek10"/>
    <w:rPr>
      <w:rFonts w:ascii="Times New Roman" w:eastAsia="Times New Roman" w:hAnsi="Times New Roman" w:cs="Times New Roman"/>
      <w:b/>
      <w:bCs/>
      <w:i w:val="0"/>
      <w:iCs w:val="0"/>
      <w:smallCaps w:val="0"/>
      <w:strike w:val="0"/>
      <w:color w:val="000000"/>
      <w:spacing w:val="-20"/>
      <w:w w:val="100"/>
      <w:position w:val="0"/>
      <w:sz w:val="86"/>
      <w:szCs w:val="86"/>
      <w:u w:val="none"/>
      <w:lang w:val="pl-PL" w:eastAsia="pl-PL" w:bidi="pl-PL"/>
    </w:rPr>
  </w:style>
  <w:style w:type="character" w:customStyle="1" w:styleId="Nagwek20">
    <w:name w:val="Nagłówek #2_"/>
    <w:basedOn w:val="Domylnaczcionkaakapitu"/>
    <w:link w:val="Nagwek21"/>
    <w:rPr>
      <w:rFonts w:ascii="Times New Roman" w:eastAsia="Times New Roman" w:hAnsi="Times New Roman" w:cs="Times New Roman"/>
      <w:b/>
      <w:bCs/>
      <w:i w:val="0"/>
      <w:iCs w:val="0"/>
      <w:smallCaps w:val="0"/>
      <w:strike w:val="0"/>
      <w:spacing w:val="0"/>
      <w:sz w:val="50"/>
      <w:szCs w:val="50"/>
      <w:u w:val="none"/>
    </w:rPr>
  </w:style>
  <w:style w:type="character" w:customStyle="1" w:styleId="Nagwek22">
    <w:name w:val="Nagłówek #2"/>
    <w:basedOn w:val="Nagwek20"/>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Nagwek31">
    <w:name w:val="Nagłówek #3"/>
    <w:basedOn w:val="Nagwek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0"/>
      <w:szCs w:val="20"/>
      <w:u w:val="none"/>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1">
    <w:name w:val="Tekst treści (5)_"/>
    <w:basedOn w:val="Domylnaczcionkaakapitu"/>
    <w:link w:val="Teksttreci52"/>
    <w:rPr>
      <w:rFonts w:ascii="Times New Roman" w:eastAsia="Times New Roman" w:hAnsi="Times New Roman" w:cs="Times New Roman"/>
      <w:b w:val="0"/>
      <w:bCs w:val="0"/>
      <w:i w:val="0"/>
      <w:iCs w:val="0"/>
      <w:smallCaps w:val="0"/>
      <w:strike w:val="0"/>
      <w:sz w:val="20"/>
      <w:szCs w:val="20"/>
      <w:u w:val="none"/>
    </w:rPr>
  </w:style>
  <w:style w:type="character" w:customStyle="1" w:styleId="Teksttreci53">
    <w:name w:val="Tekst treści (5)"/>
    <w:basedOn w:val="Teksttreci5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Pogrubienie">
    <w:name w:val="Tekst treści (5) + Pogrubienie"/>
    <w:basedOn w:val="Teksttreci51"/>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
    <w:basedOn w:val="Domylnaczcionkaakapitu"/>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
    <w:basedOn w:val="Domylnaczcionkaakapitu"/>
    <w:rPr>
      <w:rFonts w:ascii="Times New Roman" w:eastAsia="Times New Roman" w:hAnsi="Times New Roman" w:cs="Times New Roman"/>
      <w:b w:val="0"/>
      <w:bCs w:val="0"/>
      <w:i w:val="0"/>
      <w:iCs w:val="0"/>
      <w:smallCaps w:val="0"/>
      <w:strike w:val="0"/>
      <w:sz w:val="15"/>
      <w:szCs w:val="15"/>
      <w:u w:val="none"/>
    </w:rPr>
  </w:style>
  <w:style w:type="character" w:customStyle="1" w:styleId="Teksttreci9BezpogrubieniaOdstpy0pt">
    <w:name w:val="Tekst treści (9) + Bez pogrubienia;Odstępy 0 pt"/>
    <w:basedOn w:val="Teksttreci90"/>
    <w:rPr>
      <w:rFonts w:ascii="Times New Roman" w:eastAsia="Times New Roman" w:hAnsi="Times New Roman" w:cs="Times New Roman"/>
      <w:b/>
      <w:bCs/>
      <w:i w:val="0"/>
      <w:iCs w:val="0"/>
      <w:smallCaps w:val="0"/>
      <w:strike w:val="0"/>
      <w:spacing w:val="-10"/>
      <w:sz w:val="20"/>
      <w:szCs w:val="20"/>
      <w:u w:val="none"/>
    </w:rPr>
  </w:style>
  <w:style w:type="character" w:customStyle="1" w:styleId="Teksttreci60">
    <w:name w:val="Tekst treści (6)_"/>
    <w:basedOn w:val="Domylnaczcionkaakapitu"/>
    <w:link w:val="Teksttreci61"/>
    <w:rPr>
      <w:rFonts w:ascii="Times New Roman" w:eastAsia="Times New Roman" w:hAnsi="Times New Roman" w:cs="Times New Roman"/>
      <w:b w:val="0"/>
      <w:bCs w:val="0"/>
      <w:i w:val="0"/>
      <w:iCs w:val="0"/>
      <w:smallCaps w:val="0"/>
      <w:strike w:val="0"/>
      <w:sz w:val="15"/>
      <w:szCs w:val="15"/>
      <w:u w:val="none"/>
    </w:rPr>
  </w:style>
  <w:style w:type="character" w:customStyle="1" w:styleId="Teksttreci62">
    <w:name w:val="Tekst treści (6)"/>
    <w:basedOn w:val="Teksttreci6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z w:val="18"/>
      <w:szCs w:val="18"/>
      <w:u w:val="none"/>
    </w:rPr>
  </w:style>
  <w:style w:type="character" w:customStyle="1" w:styleId="Teksttreci71">
    <w:name w:val="Tekst treści (7)"/>
    <w:basedOn w:val="Teksttreci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0"/>
      <w:szCs w:val="20"/>
      <w:u w:val="none"/>
    </w:rPr>
  </w:style>
  <w:style w:type="character" w:customStyle="1" w:styleId="Teksttreci81">
    <w:name w:val="Tekst treści (8)"/>
    <w:basedOn w:val="Teksttreci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sz w:val="20"/>
      <w:szCs w:val="20"/>
      <w:u w:val="none"/>
    </w:rPr>
  </w:style>
  <w:style w:type="character" w:customStyle="1" w:styleId="Nagweklubstopka65pt">
    <w:name w:val="Nagłówek lub stopka + 6;5 pt"/>
    <w:basedOn w:val="Nagweklubstopk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Impact55pt">
    <w:name w:val="Nagłówek lub stopka + Impact;5;5 pt"/>
    <w:basedOn w:val="Nagweklubstopka"/>
    <w:rPr>
      <w:rFonts w:ascii="Impact" w:eastAsia="Impact" w:hAnsi="Impact" w:cs="Impact"/>
      <w:b w:val="0"/>
      <w:bCs w:val="0"/>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90">
    <w:name w:val="Tekst treści (9)_"/>
    <w:basedOn w:val="Domylnaczcionkaakapitu"/>
    <w:link w:val="Teksttreci91"/>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Impact45ptKursywa">
    <w:name w:val="Tekst treści (2) + Impact;4;5 pt;Kursywa"/>
    <w:basedOn w:val="Teksttreci2"/>
    <w:rPr>
      <w:rFonts w:ascii="Impact" w:eastAsia="Impact" w:hAnsi="Impact" w:cs="Impact"/>
      <w:b/>
      <w:bCs/>
      <w:i/>
      <w:iCs/>
      <w:smallCaps w:val="0"/>
      <w:strike w:val="0"/>
      <w:color w:val="000000"/>
      <w:spacing w:val="0"/>
      <w:w w:val="100"/>
      <w:position w:val="0"/>
      <w:sz w:val="9"/>
      <w:szCs w:val="9"/>
      <w:u w:val="none"/>
      <w:lang w:val="pl-PL" w:eastAsia="pl-PL" w:bidi="pl-PL"/>
    </w:rPr>
  </w:style>
  <w:style w:type="character" w:customStyle="1" w:styleId="Teksttreci29pt">
    <w:name w:val="Tekst treści (2) + 9 pt"/>
    <w:basedOn w:val="Teksttreci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75pt">
    <w:name w:val="Tekst treści (2) + 7;5 pt"/>
    <w:basedOn w:val="Teksttrec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14pt">
    <w:name w:val="Pogrubienie;Tekst treści (2) + 14 pt"/>
    <w:basedOn w:val="Teksttreci2"/>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Teksttreci25pt">
    <w:name w:val="Tekst treści (2) + 5 pt"/>
    <w:basedOn w:val="Teksttreci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paragraph" w:customStyle="1" w:styleId="Stopka20">
    <w:name w:val="Stopka (2)"/>
    <w:basedOn w:val="Normalny"/>
    <w:link w:val="Stopka2"/>
    <w:pPr>
      <w:shd w:val="clear" w:color="auto" w:fill="FFFFFF"/>
      <w:spacing w:line="221" w:lineRule="exact"/>
      <w:ind w:hanging="360"/>
    </w:pPr>
    <w:rPr>
      <w:rFonts w:ascii="Times New Roman" w:eastAsia="Times New Roman" w:hAnsi="Times New Roman" w:cs="Times New Roman"/>
      <w:sz w:val="18"/>
      <w:szCs w:val="18"/>
    </w:rPr>
  </w:style>
  <w:style w:type="paragraph" w:customStyle="1" w:styleId="Stopka22">
    <w:name w:val="Stopka2"/>
    <w:basedOn w:val="Normalny"/>
    <w:link w:val="Stopka"/>
    <w:pPr>
      <w:shd w:val="clear" w:color="auto" w:fill="FFFFFF"/>
      <w:spacing w:line="0" w:lineRule="atLeast"/>
      <w:jc w:val="both"/>
    </w:pPr>
    <w:rPr>
      <w:rFonts w:ascii="Times New Roman" w:eastAsia="Times New Roman" w:hAnsi="Times New Roman" w:cs="Times New Roman"/>
      <w:sz w:val="15"/>
      <w:szCs w:val="15"/>
    </w:rPr>
  </w:style>
  <w:style w:type="paragraph" w:customStyle="1" w:styleId="Stopka30">
    <w:name w:val="Stopka (3)"/>
    <w:basedOn w:val="Normalny"/>
    <w:link w:val="Stopka3"/>
    <w:pPr>
      <w:shd w:val="clear" w:color="auto" w:fill="FFFFFF"/>
      <w:spacing w:line="0" w:lineRule="atLeast"/>
    </w:pPr>
    <w:rPr>
      <w:rFonts w:ascii="Times New Roman" w:eastAsia="Times New Roman" w:hAnsi="Times New Roman" w:cs="Times New Roman"/>
      <w:sz w:val="11"/>
      <w:szCs w:val="11"/>
    </w:rPr>
  </w:style>
  <w:style w:type="paragraph" w:customStyle="1" w:styleId="Stopka40">
    <w:name w:val="Stopka (4)"/>
    <w:basedOn w:val="Normalny"/>
    <w:link w:val="Stopka4"/>
    <w:pPr>
      <w:shd w:val="clear" w:color="auto" w:fill="FFFFFF"/>
      <w:spacing w:line="0" w:lineRule="atLeast"/>
    </w:pPr>
    <w:rPr>
      <w:rFonts w:ascii="Times New Roman" w:eastAsia="Times New Roman" w:hAnsi="Times New Roman" w:cs="Times New Roman"/>
      <w:sz w:val="20"/>
      <w:szCs w:val="20"/>
    </w:rPr>
  </w:style>
  <w:style w:type="paragraph" w:customStyle="1" w:styleId="Stopka50">
    <w:name w:val="Stopka (5)"/>
    <w:basedOn w:val="Normalny"/>
    <w:link w:val="Stopka5"/>
    <w:pPr>
      <w:shd w:val="clear" w:color="auto" w:fill="FFFFFF"/>
      <w:spacing w:line="0" w:lineRule="atLeast"/>
    </w:pPr>
    <w:rPr>
      <w:rFonts w:ascii="Times New Roman" w:eastAsia="Times New Roman" w:hAnsi="Times New Roman" w:cs="Times New Roman"/>
      <w:sz w:val="11"/>
      <w:szCs w:val="11"/>
    </w:rPr>
  </w:style>
  <w:style w:type="paragraph" w:customStyle="1" w:styleId="Teksttreci52">
    <w:name w:val="Tekst treści (5)"/>
    <w:basedOn w:val="Normalny"/>
    <w:link w:val="Teksttreci51"/>
    <w:pPr>
      <w:shd w:val="clear" w:color="auto" w:fill="FFFFFF"/>
      <w:spacing w:line="0" w:lineRule="atLeas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line="125" w:lineRule="exact"/>
    </w:pPr>
    <w:rPr>
      <w:rFonts w:ascii="Times New Roman" w:eastAsia="Times New Roman" w:hAnsi="Times New Roman" w:cs="Times New Roman"/>
      <w:sz w:val="12"/>
      <w:szCs w:val="12"/>
    </w:rPr>
  </w:style>
  <w:style w:type="paragraph" w:customStyle="1" w:styleId="Nagwek11">
    <w:name w:val="Nagłówek #1"/>
    <w:basedOn w:val="Normalny"/>
    <w:link w:val="Nagwek10"/>
    <w:pPr>
      <w:shd w:val="clear" w:color="auto" w:fill="FFFFFF"/>
      <w:spacing w:line="0" w:lineRule="atLeast"/>
      <w:jc w:val="right"/>
      <w:outlineLvl w:val="0"/>
    </w:pPr>
    <w:rPr>
      <w:rFonts w:ascii="Times New Roman" w:eastAsia="Times New Roman" w:hAnsi="Times New Roman" w:cs="Times New Roman"/>
      <w:b/>
      <w:bCs/>
      <w:spacing w:val="-20"/>
      <w:sz w:val="86"/>
      <w:szCs w:val="86"/>
    </w:rPr>
  </w:style>
  <w:style w:type="paragraph" w:customStyle="1" w:styleId="Nagwek21">
    <w:name w:val="Nagłówek #2"/>
    <w:basedOn w:val="Normalny"/>
    <w:link w:val="Nagwek20"/>
    <w:pPr>
      <w:shd w:val="clear" w:color="auto" w:fill="FFFFFF"/>
      <w:spacing w:line="0" w:lineRule="atLeast"/>
      <w:jc w:val="right"/>
      <w:outlineLvl w:val="1"/>
    </w:pPr>
    <w:rPr>
      <w:rFonts w:ascii="Times New Roman" w:eastAsia="Times New Roman" w:hAnsi="Times New Roman" w:cs="Times New Roman"/>
      <w:b/>
      <w:bCs/>
      <w:sz w:val="50"/>
      <w:szCs w:val="50"/>
    </w:rPr>
  </w:style>
  <w:style w:type="paragraph" w:customStyle="1" w:styleId="Nagwek30">
    <w:name w:val="Nagłówek #3"/>
    <w:basedOn w:val="Normalny"/>
    <w:link w:val="Nagwek3"/>
    <w:pPr>
      <w:shd w:val="clear" w:color="auto" w:fill="FFFFFF"/>
      <w:spacing w:line="0" w:lineRule="atLeast"/>
      <w:jc w:val="center"/>
      <w:outlineLvl w:val="2"/>
    </w:pPr>
    <w:rPr>
      <w:rFonts w:ascii="Times New Roman" w:eastAsia="Times New Roman" w:hAnsi="Times New Roman" w:cs="Times New Roman"/>
      <w:sz w:val="28"/>
      <w:szCs w:val="28"/>
    </w:rPr>
  </w:style>
  <w:style w:type="paragraph" w:customStyle="1" w:styleId="Teksttreci40">
    <w:name w:val="Tekst treści (4)"/>
    <w:basedOn w:val="Normalny"/>
    <w:link w:val="Teksttreci4"/>
    <w:pPr>
      <w:shd w:val="clear" w:color="auto" w:fill="FFFFFF"/>
      <w:spacing w:line="298" w:lineRule="exact"/>
      <w:ind w:hanging="700"/>
      <w:jc w:val="center"/>
    </w:pPr>
    <w:rPr>
      <w:rFonts w:ascii="Times New Roman" w:eastAsia="Times New Roman" w:hAnsi="Times New Roman" w:cs="Times New Roman"/>
      <w:b/>
      <w:bCs/>
      <w:sz w:val="20"/>
      <w:szCs w:val="20"/>
    </w:rPr>
  </w:style>
  <w:style w:type="paragraph" w:customStyle="1" w:styleId="Teksttreci91">
    <w:name w:val="Tekst treści (9)"/>
    <w:basedOn w:val="Normalny"/>
    <w:link w:val="Teksttreci90"/>
    <w:pPr>
      <w:shd w:val="clear" w:color="auto" w:fill="FFFFFF"/>
      <w:spacing w:line="0" w:lineRule="atLeast"/>
      <w:ind w:hanging="360"/>
      <w:jc w:val="center"/>
    </w:pPr>
    <w:rPr>
      <w:rFonts w:ascii="Times New Roman" w:eastAsia="Times New Roman" w:hAnsi="Times New Roman" w:cs="Times New Roman"/>
      <w:b/>
      <w:bCs/>
      <w:sz w:val="20"/>
      <w:szCs w:val="20"/>
    </w:rPr>
  </w:style>
  <w:style w:type="paragraph" w:customStyle="1" w:styleId="Teksttreci61">
    <w:name w:val="Tekst treści (6)"/>
    <w:basedOn w:val="Normalny"/>
    <w:link w:val="Teksttreci60"/>
    <w:pPr>
      <w:shd w:val="clear" w:color="auto" w:fill="FFFFFF"/>
      <w:spacing w:line="182" w:lineRule="exact"/>
      <w:jc w:val="both"/>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pPr>
      <w:shd w:val="clear" w:color="auto" w:fill="FFFFFF"/>
      <w:spacing w:line="0" w:lineRule="atLeast"/>
      <w:jc w:val="right"/>
    </w:pPr>
    <w:rPr>
      <w:rFonts w:ascii="Times New Roman" w:eastAsia="Times New Roman" w:hAnsi="Times New Roman" w:cs="Times New Roman"/>
      <w:b/>
      <w:bCs/>
      <w:sz w:val="18"/>
      <w:szCs w:val="18"/>
    </w:rPr>
  </w:style>
  <w:style w:type="paragraph" w:customStyle="1" w:styleId="Teksttreci80">
    <w:name w:val="Tekst treści (8)"/>
    <w:basedOn w:val="Normalny"/>
    <w:link w:val="Teksttreci8"/>
    <w:pPr>
      <w:shd w:val="clear" w:color="auto" w:fill="FFFFFF"/>
      <w:spacing w:line="0" w:lineRule="atLeast"/>
      <w:jc w:val="center"/>
    </w:pPr>
    <w:rPr>
      <w:rFonts w:ascii="Times New Roman" w:eastAsia="Times New Roman" w:hAnsi="Times New Roman" w:cs="Times New Roman"/>
      <w:i/>
      <w:iCs/>
      <w:sz w:val="20"/>
      <w:szCs w:val="20"/>
    </w:rPr>
  </w:style>
  <w:style w:type="paragraph" w:customStyle="1" w:styleId="Nagwek40">
    <w:name w:val="Nagłówek #4"/>
    <w:basedOn w:val="Normalny"/>
    <w:link w:val="Nagwek4"/>
    <w:pPr>
      <w:shd w:val="clear" w:color="auto" w:fill="FFFFFF"/>
      <w:spacing w:line="0" w:lineRule="atLeast"/>
      <w:jc w:val="center"/>
      <w:outlineLvl w:val="3"/>
    </w:pPr>
    <w:rPr>
      <w:rFonts w:ascii="Times New Roman" w:eastAsia="Times New Roman" w:hAnsi="Times New Roman" w:cs="Times New Roman"/>
      <w:b/>
      <w:bCs/>
      <w:sz w:val="20"/>
      <w:szCs w:val="20"/>
    </w:rPr>
  </w:style>
  <w:style w:type="paragraph" w:customStyle="1" w:styleId="Teksttreci20">
    <w:name w:val="Tekst treści (2)"/>
    <w:basedOn w:val="Normalny"/>
    <w:link w:val="Teksttreci2"/>
    <w:pPr>
      <w:shd w:val="clear" w:color="auto" w:fill="FFFFFF"/>
      <w:spacing w:line="379" w:lineRule="exact"/>
      <w:ind w:hanging="420"/>
      <w:jc w:val="both"/>
    </w:pPr>
    <w:rPr>
      <w:rFonts w:ascii="Times New Roman" w:eastAsia="Times New Roman" w:hAnsi="Times New Roman" w:cs="Times New Roman"/>
      <w:sz w:val="22"/>
      <w:szCs w:val="22"/>
    </w:rPr>
  </w:style>
  <w:style w:type="paragraph" w:styleId="Stopka0">
    <w:name w:val="footer"/>
    <w:basedOn w:val="Normalny"/>
    <w:link w:val="StopkaZnak"/>
    <w:uiPriority w:val="99"/>
    <w:unhideWhenUsed/>
    <w:rsid w:val="00496761"/>
    <w:pPr>
      <w:tabs>
        <w:tab w:val="center" w:pos="4536"/>
        <w:tab w:val="right" w:pos="9072"/>
      </w:tabs>
    </w:pPr>
  </w:style>
  <w:style w:type="character" w:customStyle="1" w:styleId="StopkaZnak">
    <w:name w:val="Stopka Znak"/>
    <w:basedOn w:val="Domylnaczcionkaakapitu"/>
    <w:link w:val="Stopka0"/>
    <w:uiPriority w:val="99"/>
    <w:rsid w:val="00496761"/>
    <w:rPr>
      <w:color w:val="000000"/>
    </w:rPr>
  </w:style>
  <w:style w:type="paragraph" w:styleId="Nagwek">
    <w:name w:val="header"/>
    <w:basedOn w:val="Normalny"/>
    <w:link w:val="NagwekZnak"/>
    <w:uiPriority w:val="99"/>
    <w:unhideWhenUsed/>
    <w:rsid w:val="00496761"/>
    <w:pPr>
      <w:tabs>
        <w:tab w:val="center" w:pos="4536"/>
        <w:tab w:val="right" w:pos="9072"/>
      </w:tabs>
    </w:pPr>
  </w:style>
  <w:style w:type="character" w:customStyle="1" w:styleId="NagwekZnak">
    <w:name w:val="Nagłówek Znak"/>
    <w:basedOn w:val="Domylnaczcionkaakapitu"/>
    <w:link w:val="Nagwek"/>
    <w:uiPriority w:val="99"/>
    <w:rsid w:val="00496761"/>
    <w:rPr>
      <w:color w:val="000000"/>
    </w:rPr>
  </w:style>
  <w:style w:type="character" w:styleId="Odwoanieprzypisudolnego">
    <w:name w:val="footnote reference"/>
    <w:basedOn w:val="Domylnaczcionkaakapitu"/>
    <w:uiPriority w:val="99"/>
    <w:unhideWhenUsed/>
    <w:rsid w:val="00905DA0"/>
    <w:rPr>
      <w:vertAlign w:val="superscript"/>
    </w:rPr>
  </w:style>
  <w:style w:type="paragraph" w:styleId="Tekstprzypisudolnego">
    <w:name w:val="footnote text"/>
    <w:basedOn w:val="Normalny"/>
    <w:link w:val="TekstprzypisudolnegoZnak"/>
    <w:uiPriority w:val="99"/>
    <w:semiHidden/>
    <w:unhideWhenUsed/>
    <w:rsid w:val="007C477B"/>
    <w:rPr>
      <w:sz w:val="20"/>
      <w:szCs w:val="20"/>
    </w:rPr>
  </w:style>
  <w:style w:type="character" w:customStyle="1" w:styleId="TekstprzypisudolnegoZnak">
    <w:name w:val="Tekst przypisu dolnego Znak"/>
    <w:basedOn w:val="Domylnaczcionkaakapitu"/>
    <w:link w:val="Tekstprzypisudolnego"/>
    <w:uiPriority w:val="99"/>
    <w:semiHidden/>
    <w:rsid w:val="007C477B"/>
    <w:rPr>
      <w:color w:val="000000"/>
      <w:sz w:val="20"/>
      <w:szCs w:val="20"/>
    </w:rPr>
  </w:style>
  <w:style w:type="character" w:customStyle="1" w:styleId="Teksttreci">
    <w:name w:val="Tekst treści_"/>
    <w:basedOn w:val="Domylnaczcionkaakapitu"/>
    <w:link w:val="Teksttreci0"/>
    <w:rsid w:val="00544AC9"/>
    <w:rPr>
      <w:rFonts w:ascii="Arial" w:eastAsia="Arial" w:hAnsi="Arial" w:cs="Arial"/>
      <w:sz w:val="20"/>
      <w:szCs w:val="20"/>
    </w:rPr>
  </w:style>
  <w:style w:type="character" w:customStyle="1" w:styleId="Inne">
    <w:name w:val="Inne_"/>
    <w:basedOn w:val="Domylnaczcionkaakapitu"/>
    <w:link w:val="Inne0"/>
    <w:rsid w:val="00544AC9"/>
    <w:rPr>
      <w:rFonts w:ascii="Arial" w:eastAsia="Arial" w:hAnsi="Arial" w:cs="Arial"/>
      <w:sz w:val="20"/>
      <w:szCs w:val="20"/>
    </w:rPr>
  </w:style>
  <w:style w:type="paragraph" w:customStyle="1" w:styleId="Teksttreci0">
    <w:name w:val="Tekst treści"/>
    <w:basedOn w:val="Normalny"/>
    <w:link w:val="Teksttreci"/>
    <w:rsid w:val="00544AC9"/>
    <w:pPr>
      <w:spacing w:after="120"/>
    </w:pPr>
    <w:rPr>
      <w:rFonts w:ascii="Arial" w:eastAsia="Arial" w:hAnsi="Arial" w:cs="Arial"/>
      <w:color w:val="auto"/>
      <w:sz w:val="20"/>
      <w:szCs w:val="20"/>
    </w:rPr>
  </w:style>
  <w:style w:type="paragraph" w:customStyle="1" w:styleId="Inne0">
    <w:name w:val="Inne"/>
    <w:basedOn w:val="Normalny"/>
    <w:link w:val="Inne"/>
    <w:rsid w:val="00544AC9"/>
    <w:pPr>
      <w:spacing w:after="120"/>
    </w:pPr>
    <w:rPr>
      <w:rFonts w:ascii="Arial" w:eastAsia="Arial" w:hAnsi="Arial" w:cs="Arial"/>
      <w:color w:val="auto"/>
      <w:sz w:val="20"/>
      <w:szCs w:val="20"/>
    </w:rPr>
  </w:style>
  <w:style w:type="character" w:customStyle="1" w:styleId="Podpistabeli">
    <w:name w:val="Podpis tabeli_"/>
    <w:basedOn w:val="Domylnaczcionkaakapitu"/>
    <w:link w:val="Podpistabeli0"/>
    <w:rsid w:val="00C95517"/>
    <w:rPr>
      <w:rFonts w:ascii="Arial" w:eastAsia="Arial" w:hAnsi="Arial" w:cs="Arial"/>
      <w:sz w:val="20"/>
      <w:szCs w:val="20"/>
    </w:rPr>
  </w:style>
  <w:style w:type="paragraph" w:customStyle="1" w:styleId="Podpistabeli0">
    <w:name w:val="Podpis tabeli"/>
    <w:basedOn w:val="Normalny"/>
    <w:link w:val="Podpistabeli"/>
    <w:rsid w:val="00C95517"/>
    <w:rPr>
      <w:rFonts w:ascii="Arial" w:eastAsia="Arial" w:hAnsi="Arial" w:cs="Arial"/>
      <w:color w:val="auto"/>
      <w:sz w:val="20"/>
      <w:szCs w:val="20"/>
    </w:rPr>
  </w:style>
  <w:style w:type="character" w:customStyle="1" w:styleId="UnresolvedMention">
    <w:name w:val="Unresolved Mention"/>
    <w:basedOn w:val="Domylnaczcionkaakapitu"/>
    <w:uiPriority w:val="99"/>
    <w:semiHidden/>
    <w:unhideWhenUsed/>
    <w:rsid w:val="00675644"/>
    <w:rPr>
      <w:color w:val="605E5C"/>
      <w:shd w:val="clear" w:color="auto" w:fill="E1DFDD"/>
    </w:rPr>
  </w:style>
  <w:style w:type="character" w:customStyle="1" w:styleId="markedcontent">
    <w:name w:val="markedcontent"/>
    <w:basedOn w:val="Domylnaczcionkaakapitu"/>
    <w:rsid w:val="00B636E1"/>
  </w:style>
  <w:style w:type="table" w:styleId="Tabela-Siatka">
    <w:name w:val="Table Grid"/>
    <w:basedOn w:val="Standardowy"/>
    <w:uiPriority w:val="59"/>
    <w:rsid w:val="0010511D"/>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CB6A1D"/>
    <w:rPr>
      <w:rFonts w:ascii="Times New Roman" w:eastAsia="Times New Roman" w:hAnsi="Times New Roman" w:cs="Times New Roman"/>
      <w:sz w:val="28"/>
      <w:szCs w:val="20"/>
      <w:lang w:bidi="ar-SA"/>
    </w:rPr>
  </w:style>
  <w:style w:type="character" w:customStyle="1" w:styleId="Nagwek2Znak">
    <w:name w:val="Nagłówek 2 Znak"/>
    <w:basedOn w:val="Domylnaczcionkaakapitu"/>
    <w:link w:val="Nagwek2"/>
    <w:semiHidden/>
    <w:rsid w:val="00CB6A1D"/>
    <w:rPr>
      <w:rFonts w:ascii="Times New Roman" w:eastAsia="Times New Roman" w:hAnsi="Times New Roman" w:cs="Times New Roman"/>
      <w:b/>
      <w:sz w:val="28"/>
      <w:szCs w:val="20"/>
      <w:lang w:bidi="ar-SA"/>
    </w:rPr>
  </w:style>
  <w:style w:type="character" w:customStyle="1" w:styleId="Teksttreci9Bezpogrubienia">
    <w:name w:val="Tekst treści (9) + Bez pogrubienia"/>
    <w:aliases w:val="Odstępy 0 pt"/>
    <w:basedOn w:val="Domylnaczcionkaakapitu"/>
    <w:rsid w:val="00CB6A1D"/>
    <w:rPr>
      <w:rFonts w:ascii="Times New Roman" w:eastAsia="Times New Roman" w:hAnsi="Times New Roman" w:cs="Times New Roman" w:hint="default"/>
      <w:b/>
      <w:bCs/>
      <w:i w:val="0"/>
      <w:iCs w:val="0"/>
      <w:smallCaps w:val="0"/>
      <w:strike w:val="0"/>
      <w:dstrike w:val="0"/>
      <w:spacing w:val="-1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96150">
      <w:bodyDiv w:val="1"/>
      <w:marLeft w:val="0"/>
      <w:marRight w:val="0"/>
      <w:marTop w:val="0"/>
      <w:marBottom w:val="0"/>
      <w:divBdr>
        <w:top w:val="none" w:sz="0" w:space="0" w:color="auto"/>
        <w:left w:val="none" w:sz="0" w:space="0" w:color="auto"/>
        <w:bottom w:val="none" w:sz="0" w:space="0" w:color="auto"/>
        <w:right w:val="none" w:sz="0" w:space="0" w:color="auto"/>
      </w:divBdr>
    </w:div>
    <w:div w:id="428814718">
      <w:bodyDiv w:val="1"/>
      <w:marLeft w:val="0"/>
      <w:marRight w:val="0"/>
      <w:marTop w:val="0"/>
      <w:marBottom w:val="0"/>
      <w:divBdr>
        <w:top w:val="none" w:sz="0" w:space="0" w:color="auto"/>
        <w:left w:val="none" w:sz="0" w:space="0" w:color="auto"/>
        <w:bottom w:val="none" w:sz="0" w:space="0" w:color="auto"/>
        <w:right w:val="none" w:sz="0" w:space="0" w:color="auto"/>
      </w:divBdr>
    </w:div>
    <w:div w:id="756287570">
      <w:bodyDiv w:val="1"/>
      <w:marLeft w:val="0"/>
      <w:marRight w:val="0"/>
      <w:marTop w:val="0"/>
      <w:marBottom w:val="0"/>
      <w:divBdr>
        <w:top w:val="none" w:sz="0" w:space="0" w:color="auto"/>
        <w:left w:val="none" w:sz="0" w:space="0" w:color="auto"/>
        <w:bottom w:val="none" w:sz="0" w:space="0" w:color="auto"/>
        <w:right w:val="none" w:sz="0" w:space="0" w:color="auto"/>
      </w:divBdr>
    </w:div>
    <w:div w:id="1110973704">
      <w:bodyDiv w:val="1"/>
      <w:marLeft w:val="0"/>
      <w:marRight w:val="0"/>
      <w:marTop w:val="0"/>
      <w:marBottom w:val="0"/>
      <w:divBdr>
        <w:top w:val="none" w:sz="0" w:space="0" w:color="auto"/>
        <w:left w:val="none" w:sz="0" w:space="0" w:color="auto"/>
        <w:bottom w:val="none" w:sz="0" w:space="0" w:color="auto"/>
        <w:right w:val="none" w:sz="0" w:space="0" w:color="auto"/>
      </w:divBdr>
    </w:div>
    <w:div w:id="1715234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emf"/><Relationship Id="rId26" Type="http://schemas.openxmlformats.org/officeDocument/2006/relationships/hyperlink" Target="https://www.capturethefracture.org/map-of-best-practice" TargetMode="External"/><Relationship Id="rId3" Type="http://schemas.openxmlformats.org/officeDocument/2006/relationships/styles" Target="styles.xml"/><Relationship Id="rId21" Type="http://schemas.openxmlformats.org/officeDocument/2006/relationships/hyperlink" Target="https://legacyscreening.phe.org.uk/osteoporosis"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emf"/><Relationship Id="rId25" Type="http://schemas.openxmlformats.org/officeDocument/2006/relationships/hyperlink" Target="http://www.osteoporoza.pl/index.php?option=com_content&amp;view=article&amp;id=1907&amp;Itemid=14" TargetMode="External"/><Relationship Id="rId2" Type="http://schemas.openxmlformats.org/officeDocument/2006/relationships/numbering" Target="numbering.xml"/><Relationship Id="rId16" Type="http://schemas.openxmlformats.org/officeDocument/2006/relationships/hyperlink" Target="https://www.sheffield.ac.uk/FRAX/tool.aspx?lang=po&amp;country=40" TargetMode="External"/><Relationship Id="rId20" Type="http://schemas.openxmlformats.org/officeDocument/2006/relationships/hyperlink" Target="https://canadiantaskforce.ca/guidelines/appraised-guidelines/osteoporosi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www.capturethefracture.org/best-practice-framewor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acjent.gov.pl/programy-profilaktyczne/profilaktyka-osteoporozy" TargetMode="External"/><Relationship Id="rId23" Type="http://schemas.openxmlformats.org/officeDocument/2006/relationships/hyperlink" Target="https://www.uspreventiveservicestaskforce.org/Page/Document/RecommendationStatement" TargetMode="External"/><Relationship Id="rId28" Type="http://schemas.openxmlformats.org/officeDocument/2006/relationships/hyperlink" Target="http://www.mpz.mz.gov.pl/mapy-dla-30-grup-chorob/" TargetMode="External"/><Relationship Id="rId10" Type="http://schemas.openxmlformats.org/officeDocument/2006/relationships/image" Target="media/image2.jpeg"/><Relationship Id="rId19" Type="http://schemas.openxmlformats.org/officeDocument/2006/relationships/image" Target="media/image9.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www.uspreventiveservicestaskforce.org/Page/Document/RecommendationStatement" TargetMode="External"/><Relationship Id="rId27" Type="http://schemas.openxmlformats.org/officeDocument/2006/relationships/hyperlink" Target="https://www.mp.pl/reumatologia/wytyczne/78861,rozpoznawanie-prewencja-i-leczenie-osteoporozy-u-mezczyzn-podsumowanie-wytycznych-the-endocrine-society-2012,1"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0AF2-3281-4A4F-9342-458F075B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9269</Words>
  <Characters>55617</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Rozdolska</dc:creator>
  <cp:lastModifiedBy>Lidia Rozdolska</cp:lastModifiedBy>
  <cp:revision>3</cp:revision>
  <cp:lastPrinted>2023-03-20T08:04:00Z</cp:lastPrinted>
  <dcterms:created xsi:type="dcterms:W3CDTF">2023-03-20T08:03:00Z</dcterms:created>
  <dcterms:modified xsi:type="dcterms:W3CDTF">2023-03-20T08:04:00Z</dcterms:modified>
</cp:coreProperties>
</file>